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before="0" w:beforeAutospacing="0" w:after="0" w:afterAutospacing="0" w:line="600" w:lineRule="exact"/>
        <w:jc w:val="center"/>
        <w:rPr>
          <w:rStyle w:val="12"/>
          <w:rFonts w:ascii="黑体" w:eastAsia="黑体"/>
          <w:sz w:val="44"/>
          <w:szCs w:val="44"/>
        </w:rPr>
      </w:pPr>
      <w:r>
        <w:rPr>
          <w:rStyle w:val="10"/>
          <w:rFonts w:ascii="黑体" w:eastAsia="黑体" w:cs="宋体"/>
          <w:sz w:val="44"/>
          <w:szCs w:val="44"/>
        </w:rPr>
        <w:t>中国人民政治协商会议</w:t>
      </w:r>
    </w:p>
    <w:p>
      <w:pPr>
        <w:pStyle w:val="18"/>
        <w:spacing w:before="0" w:beforeAutospacing="0" w:after="0" w:afterAutospacing="0" w:line="600" w:lineRule="exact"/>
        <w:jc w:val="center"/>
        <w:rPr>
          <w:rStyle w:val="12"/>
          <w:rFonts w:hint="eastAsia"/>
          <w:sz w:val="44"/>
          <w:szCs w:val="44"/>
        </w:rPr>
      </w:pPr>
      <w:r>
        <w:rPr>
          <w:rStyle w:val="12"/>
          <w:sz w:val="44"/>
          <w:szCs w:val="44"/>
        </w:rPr>
        <w:t>黔东南苗族侗族自治州委员会</w:t>
      </w:r>
    </w:p>
    <w:p>
      <w:pPr>
        <w:pStyle w:val="18"/>
        <w:spacing w:before="0" w:beforeAutospacing="0" w:after="0" w:afterAutospacing="0" w:line="600" w:lineRule="exact"/>
        <w:jc w:val="center"/>
        <w:rPr>
          <w:rStyle w:val="12"/>
          <w:rFonts w:hint="eastAsia"/>
          <w:sz w:val="44"/>
          <w:szCs w:val="44"/>
        </w:rPr>
      </w:pPr>
      <w:r>
        <w:rPr>
          <w:rStyle w:val="12"/>
          <w:sz w:val="44"/>
          <w:szCs w:val="44"/>
        </w:rPr>
        <w:t>提</w:t>
      </w:r>
      <w:r>
        <w:rPr>
          <w:rStyle w:val="12"/>
          <w:rFonts w:hint="eastAsia"/>
          <w:sz w:val="44"/>
          <w:szCs w:val="44"/>
        </w:rPr>
        <w:t xml:space="preserve">   </w:t>
      </w:r>
      <w:r>
        <w:rPr>
          <w:rStyle w:val="12"/>
          <w:sz w:val="44"/>
          <w:szCs w:val="44"/>
        </w:rPr>
        <w:t>案</w:t>
      </w:r>
    </w:p>
    <w:p>
      <w:pPr>
        <w:spacing w:line="320" w:lineRule="exact"/>
        <w:jc w:val="center"/>
        <w:textAlignment w:val="top"/>
        <w:rPr>
          <w:rStyle w:val="12"/>
          <w:rFonts w:hint="eastAsia" w:ascii="宋体" w:hAnsi="宋体"/>
          <w:kern w:val="0"/>
          <w:sz w:val="24"/>
        </w:rPr>
      </w:pPr>
    </w:p>
    <w:p>
      <w:pPr>
        <w:spacing w:line="320" w:lineRule="exact"/>
        <w:jc w:val="center"/>
        <w:textAlignment w:val="top"/>
        <w:rPr>
          <w:rStyle w:val="12"/>
          <w:rFonts w:hint="eastAsia" w:ascii="宋体" w:hAnsi="宋体"/>
          <w:kern w:val="0"/>
          <w:sz w:val="24"/>
        </w:rPr>
      </w:pPr>
    </w:p>
    <w:p>
      <w:pPr>
        <w:spacing w:line="760" w:lineRule="exact"/>
        <w:jc w:val="both"/>
        <w:textAlignment w:val="top"/>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2"/>
          <w:rFonts w:hint="default" w:ascii="宋体" w:hAnsi="宋体" w:eastAsia="宋体"/>
          <w:kern w:val="0"/>
          <w:sz w:val="24"/>
          <w:lang w:val="en-US" w:eastAsia="zh-CN"/>
        </w:rPr>
      </w:pPr>
      <w:r>
        <w:rPr>
          <w:rStyle w:val="12"/>
          <w:rFonts w:ascii="宋体" w:hAnsi="宋体"/>
          <w:kern w:val="0"/>
          <w:sz w:val="24"/>
        </w:rPr>
        <w:t>第十</w:t>
      </w:r>
      <w:r>
        <w:rPr>
          <w:rStyle w:val="12"/>
          <w:rFonts w:hint="eastAsia" w:ascii="宋体" w:hAnsi="宋体"/>
          <w:kern w:val="0"/>
          <w:sz w:val="24"/>
          <w:lang w:val="en-US" w:eastAsia="zh-CN"/>
        </w:rPr>
        <w:t>三</w:t>
      </w:r>
      <w:r>
        <w:rPr>
          <w:rStyle w:val="12"/>
          <w:rFonts w:ascii="宋体" w:hAnsi="宋体"/>
          <w:kern w:val="0"/>
          <w:sz w:val="24"/>
        </w:rPr>
        <w:t>届第</w:t>
      </w:r>
      <w:r>
        <w:rPr>
          <w:rStyle w:val="12"/>
          <w:rFonts w:hint="eastAsia" w:ascii="宋体" w:hAnsi="宋体"/>
          <w:kern w:val="0"/>
          <w:sz w:val="24"/>
          <w:lang w:val="en-US" w:eastAsia="zh-CN"/>
        </w:rPr>
        <w:t>一</w:t>
      </w:r>
      <w:r>
        <w:rPr>
          <w:rStyle w:val="12"/>
          <w:rFonts w:ascii="宋体" w:hAnsi="宋体"/>
          <w:kern w:val="0"/>
          <w:sz w:val="24"/>
        </w:rPr>
        <w:t>次会议　       　第</w:t>
      </w:r>
      <w:r>
        <w:rPr>
          <w:rStyle w:val="12"/>
          <w:rFonts w:hint="eastAsia" w:ascii="宋体" w:hAnsi="宋体"/>
          <w:kern w:val="0"/>
          <w:sz w:val="24"/>
          <w:lang w:val="en-US" w:eastAsia="zh-CN"/>
        </w:rPr>
        <w:t>190</w:t>
      </w:r>
      <w:r>
        <w:rPr>
          <w:rStyle w:val="12"/>
          <w:rFonts w:ascii="宋体" w:hAnsi="宋体"/>
          <w:kern w:val="0"/>
          <w:sz w:val="24"/>
        </w:rPr>
        <w:t xml:space="preserve">号　    </w:t>
      </w:r>
      <w:r>
        <w:rPr>
          <w:rStyle w:val="12"/>
          <w:rFonts w:hint="eastAsia" w:ascii="宋体" w:hAnsi="宋体"/>
          <w:kern w:val="0"/>
          <w:sz w:val="24"/>
        </w:rPr>
        <w:t xml:space="preserve">    </w:t>
      </w:r>
      <w:r>
        <w:rPr>
          <w:rStyle w:val="12"/>
          <w:rFonts w:hint="eastAsia" w:ascii="宋体" w:hAnsi="宋体"/>
          <w:kern w:val="0"/>
          <w:sz w:val="24"/>
          <w:lang w:val="en-US" w:eastAsia="zh-CN"/>
        </w:rPr>
        <w:t xml:space="preserve"> 类别：社会建设类     </w:t>
      </w:r>
    </w:p>
    <w:p>
      <w:pPr>
        <w:spacing w:line="320" w:lineRule="exact"/>
        <w:jc w:val="left"/>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8"/>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2"/>
                <w:rFonts w:ascii="宋体" w:hAnsi="宋体"/>
                <w:kern w:val="0"/>
                <w:sz w:val="24"/>
              </w:rPr>
            </w:pPr>
            <w:r>
              <w:rPr>
                <w:rStyle w:val="12"/>
                <w:rFonts w:ascii="黑体" w:hAnsi="宋体" w:eastAsia="黑体" w:cs="宋体"/>
                <w:b/>
                <w:bCs/>
                <w:kern w:val="0"/>
                <w:sz w:val="24"/>
              </w:rPr>
              <w:t>案</w:t>
            </w:r>
            <w:r>
              <w:rPr>
                <w:rStyle w:val="12"/>
                <w:rFonts w:ascii="宋体" w:hAnsi="宋体" w:eastAsia="黑体" w:cs="宋体"/>
                <w:b/>
                <w:bCs/>
                <w:kern w:val="0"/>
                <w:sz w:val="24"/>
              </w:rPr>
              <w:t>  </w:t>
            </w:r>
            <w:r>
              <w:rPr>
                <w:rStyle w:val="12"/>
                <w:rFonts w:ascii="黑体" w:hAnsi="宋体" w:eastAsia="黑体" w:cs="宋体"/>
                <w:b/>
                <w:bCs/>
                <w:kern w:val="0"/>
                <w:sz w:val="24"/>
              </w:rPr>
              <w:t>由</w:t>
            </w:r>
            <w:r>
              <w:rPr>
                <w:rStyle w:val="12"/>
                <w:rFonts w:ascii="宋体" w:hAnsi="宋体" w:cs="宋体"/>
                <w:b/>
                <w:bCs/>
                <w:kern w:val="0"/>
                <w:sz w:val="24"/>
              </w:rPr>
              <w:t>：</w:t>
            </w:r>
          </w:p>
        </w:tc>
        <w:tc>
          <w:tcPr>
            <w:tcW w:w="6797" w:type="dxa"/>
            <w:gridSpan w:val="3"/>
            <w:vAlign w:val="center"/>
          </w:tcPr>
          <w:p>
            <w:pPr>
              <w:jc w:val="left"/>
              <w:rPr>
                <w:rStyle w:val="12"/>
                <w:rFonts w:ascii="宋体" w:hAnsi="宋体" w:cs="宋体"/>
                <w:b/>
                <w:bCs/>
                <w:kern w:val="0"/>
                <w:sz w:val="24"/>
              </w:rPr>
            </w:pPr>
            <w:r>
              <w:rPr>
                <w:rStyle w:val="12"/>
                <w:rFonts w:hint="eastAsia" w:ascii="宋体" w:hAnsi="宋体" w:cs="宋体"/>
                <w:b/>
                <w:bCs/>
                <w:kern w:val="0"/>
                <w:sz w:val="24"/>
              </w:rPr>
              <w:t>关于整治居民小区私搭乱建现象的建议</w:t>
            </w:r>
          </w:p>
        </w:tc>
      </w:tr>
      <w:tr>
        <w:tblPrEx>
          <w:tblCellMar>
            <w:top w:w="0" w:type="dxa"/>
            <w:left w:w="15" w:type="dxa"/>
            <w:bottom w:w="0" w:type="dxa"/>
            <w:right w:w="15" w:type="dxa"/>
          </w:tblCellMar>
        </w:tblPrEx>
        <w:tc>
          <w:tcPr>
            <w:tcW w:w="1753" w:type="dxa"/>
            <w:vAlign w:val="center"/>
          </w:tcPr>
          <w:p>
            <w:pPr>
              <w:jc w:val="left"/>
              <w:rPr>
                <w:rStyle w:val="12"/>
                <w:rFonts w:ascii="宋体" w:hAnsi="宋体"/>
                <w:kern w:val="0"/>
                <w:sz w:val="24"/>
              </w:rPr>
            </w:pPr>
            <w:r>
              <w:rPr>
                <w:rStyle w:val="12"/>
                <w:rFonts w:ascii="黑体" w:hAnsi="宋体" w:eastAsia="黑体" w:cs="宋体"/>
                <w:b/>
                <w:bCs/>
                <w:kern w:val="0"/>
                <w:sz w:val="24"/>
              </w:rPr>
              <w:t>审查意见</w:t>
            </w:r>
            <w:r>
              <w:rPr>
                <w:rStyle w:val="12"/>
                <w:rFonts w:ascii="宋体" w:hAnsi="宋体" w:cs="宋体"/>
                <w:b/>
                <w:bCs/>
                <w:kern w:val="0"/>
                <w:sz w:val="24"/>
              </w:rPr>
              <w:t>：</w:t>
            </w:r>
          </w:p>
        </w:tc>
        <w:tc>
          <w:tcPr>
            <w:tcW w:w="6797" w:type="dxa"/>
            <w:gridSpan w:val="3"/>
            <w:vAlign w:val="center"/>
          </w:tcPr>
          <w:p>
            <w:pPr>
              <w:jc w:val="left"/>
              <w:rPr>
                <w:rStyle w:val="12"/>
                <w:rFonts w:hint="default" w:ascii="宋体" w:hAnsi="宋体" w:eastAsia="宋体"/>
                <w:kern w:val="0"/>
                <w:sz w:val="24"/>
                <w:lang w:val="en-US" w:eastAsia="zh-CN"/>
              </w:rPr>
            </w:pPr>
            <w:r>
              <w:rPr>
                <w:rStyle w:val="12"/>
                <w:rFonts w:hint="eastAsia" w:ascii="宋体" w:hAnsi="宋体"/>
                <w:kern w:val="0"/>
                <w:sz w:val="24"/>
                <w:lang w:eastAsia="zh-CN"/>
              </w:rPr>
              <w:t>主办：</w:t>
            </w:r>
            <w:r>
              <w:rPr>
                <w:rFonts w:hint="eastAsia" w:ascii="宋体" w:hAnsi="宋体" w:cs="宋体"/>
                <w:kern w:val="0"/>
                <w:sz w:val="24"/>
                <w:lang w:eastAsia="zh-CN"/>
              </w:rPr>
              <w:t>州住建局</w:t>
            </w:r>
            <w:r>
              <w:rPr>
                <w:rStyle w:val="12"/>
                <w:rFonts w:hint="eastAsia" w:ascii="宋体" w:hAnsi="宋体"/>
                <w:kern w:val="0"/>
                <w:sz w:val="24"/>
                <w:lang w:val="en-US" w:eastAsia="zh-CN"/>
              </w:rPr>
              <w:t xml:space="preserve"> 会办：州自然资源局、州市监局、州</w:t>
            </w:r>
            <w:bookmarkStart w:id="0" w:name="_GoBack"/>
            <w:bookmarkEnd w:id="0"/>
            <w:r>
              <w:rPr>
                <w:rStyle w:val="12"/>
                <w:rFonts w:hint="eastAsia" w:ascii="宋体" w:hAnsi="宋体"/>
                <w:kern w:val="0"/>
                <w:sz w:val="24"/>
                <w:lang w:val="en-US" w:eastAsia="zh-CN"/>
              </w:rPr>
              <w:t>消防队</w:t>
            </w:r>
          </w:p>
        </w:tc>
      </w:tr>
      <w:tr>
        <w:tblPrEx>
          <w:tblCellMar>
            <w:top w:w="0" w:type="dxa"/>
            <w:left w:w="15" w:type="dxa"/>
            <w:bottom w:w="0" w:type="dxa"/>
            <w:right w:w="15" w:type="dxa"/>
          </w:tblCellMar>
        </w:tblPrEx>
        <w:tc>
          <w:tcPr>
            <w:tcW w:w="1753" w:type="dxa"/>
            <w:vAlign w:val="center"/>
          </w:tcPr>
          <w:p>
            <w:pPr>
              <w:jc w:val="left"/>
              <w:rPr>
                <w:rStyle w:val="12"/>
                <w:rFonts w:ascii="黑体" w:hAnsi="宋体" w:eastAsia="黑体"/>
                <w:kern w:val="0"/>
                <w:sz w:val="24"/>
              </w:rPr>
            </w:pPr>
            <w:r>
              <w:rPr>
                <w:rStyle w:val="12"/>
                <w:rFonts w:ascii="黑体" w:hAnsi="宋体" w:eastAsia="黑体" w:cs="宋体"/>
                <w:b/>
                <w:bCs/>
                <w:kern w:val="0"/>
                <w:sz w:val="24"/>
              </w:rPr>
              <w:t>提</w:t>
            </w:r>
            <w:r>
              <w:rPr>
                <w:rStyle w:val="12"/>
                <w:rFonts w:ascii="宋体" w:hAnsi="宋体" w:eastAsia="黑体" w:cs="宋体"/>
                <w:b/>
                <w:bCs/>
                <w:kern w:val="0"/>
                <w:sz w:val="24"/>
              </w:rPr>
              <w:t> </w:t>
            </w:r>
            <w:r>
              <w:rPr>
                <w:rStyle w:val="12"/>
                <w:rFonts w:ascii="黑体" w:hAnsi="宋体" w:eastAsia="黑体" w:cs="宋体"/>
                <w:b/>
                <w:bCs/>
                <w:kern w:val="0"/>
                <w:sz w:val="24"/>
              </w:rPr>
              <w:t>案人</w:t>
            </w:r>
            <w:r>
              <w:rPr>
                <w:rStyle w:val="12"/>
                <w:rFonts w:ascii="宋体" w:hAnsi="宋体" w:eastAsia="黑体" w:cs="宋体"/>
                <w:b/>
                <w:bCs/>
                <w:kern w:val="0"/>
                <w:sz w:val="24"/>
              </w:rPr>
              <w:t>：</w:t>
            </w:r>
          </w:p>
        </w:tc>
        <w:tc>
          <w:tcPr>
            <w:tcW w:w="3872" w:type="dxa"/>
            <w:vAlign w:val="center"/>
          </w:tcPr>
          <w:p>
            <w:pPr>
              <w:jc w:val="left"/>
              <w:rPr>
                <w:rStyle w:val="12"/>
                <w:rFonts w:ascii="宋体" w:hAnsi="宋体"/>
                <w:kern w:val="0"/>
                <w:sz w:val="24"/>
              </w:rPr>
            </w:pPr>
            <w:r>
              <w:rPr>
                <w:rStyle w:val="12"/>
                <w:rFonts w:ascii="宋体" w:hAnsi="宋体" w:cs="宋体"/>
                <w:b/>
                <w:bCs/>
                <w:kern w:val="0"/>
                <w:sz w:val="24"/>
                <w:highlight w:val="none"/>
              </w:rPr>
              <w:t>通讯地址</w:t>
            </w:r>
          </w:p>
        </w:tc>
        <w:tc>
          <w:tcPr>
            <w:tcW w:w="1440" w:type="dxa"/>
            <w:vAlign w:val="center"/>
          </w:tcPr>
          <w:p>
            <w:pPr>
              <w:jc w:val="left"/>
              <w:rPr>
                <w:rStyle w:val="12"/>
                <w:rFonts w:ascii="宋体" w:hAnsi="宋体"/>
                <w:kern w:val="0"/>
                <w:sz w:val="24"/>
              </w:rPr>
            </w:pPr>
            <w:r>
              <w:rPr>
                <w:rStyle w:val="12"/>
                <w:rFonts w:ascii="宋体" w:hAnsi="宋体" w:cs="宋体"/>
                <w:b/>
                <w:bCs/>
                <w:kern w:val="0"/>
                <w:sz w:val="24"/>
              </w:rPr>
              <w:t>邮政编码</w:t>
            </w:r>
          </w:p>
        </w:tc>
        <w:tc>
          <w:tcPr>
            <w:tcW w:w="1485" w:type="dxa"/>
            <w:vAlign w:val="center"/>
          </w:tcPr>
          <w:p>
            <w:pPr>
              <w:jc w:val="left"/>
              <w:rPr>
                <w:rStyle w:val="12"/>
                <w:rFonts w:ascii="宋体" w:hAnsi="宋体"/>
                <w:kern w:val="0"/>
                <w:sz w:val="24"/>
              </w:rPr>
            </w:pPr>
            <w:r>
              <w:rPr>
                <w:rStyle w:val="12"/>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widowControl/>
              <w:jc w:val="left"/>
              <w:rPr>
                <w:rStyle w:val="12"/>
                <w:rFonts w:hint="eastAsia" w:ascii="宋体" w:hAnsi="宋体" w:eastAsia="宋体"/>
                <w:kern w:val="0"/>
                <w:sz w:val="24"/>
                <w:szCs w:val="22"/>
                <w:lang w:val="en-US" w:eastAsia="zh-CN"/>
              </w:rPr>
            </w:pPr>
            <w:r>
              <w:rPr>
                <w:rStyle w:val="12"/>
                <w:rFonts w:hint="eastAsia" w:ascii="宋体" w:hAnsi="宋体" w:eastAsia="宋体"/>
                <w:kern w:val="0"/>
                <w:sz w:val="24"/>
                <w:szCs w:val="22"/>
                <w:lang w:val="en-US" w:eastAsia="zh-CN"/>
              </w:rPr>
              <w:t>黄德辉</w:t>
            </w:r>
          </w:p>
          <w:p>
            <w:pPr>
              <w:widowControl/>
              <w:jc w:val="left"/>
              <w:rPr>
                <w:rStyle w:val="12"/>
                <w:rFonts w:hint="eastAsia" w:ascii="宋体" w:hAnsi="宋体" w:eastAsia="宋体"/>
                <w:kern w:val="0"/>
                <w:sz w:val="24"/>
                <w:szCs w:val="22"/>
                <w:lang w:val="en-US" w:eastAsia="zh-CN"/>
              </w:rPr>
            </w:pPr>
            <w:r>
              <w:rPr>
                <w:rStyle w:val="12"/>
                <w:rFonts w:hint="eastAsia" w:ascii="宋体" w:hAnsi="宋体" w:eastAsia="宋体"/>
                <w:kern w:val="0"/>
                <w:sz w:val="24"/>
                <w:szCs w:val="22"/>
                <w:lang w:val="en-US" w:eastAsia="zh-CN"/>
              </w:rPr>
              <w:t>张运良</w:t>
            </w:r>
          </w:p>
          <w:p>
            <w:pPr>
              <w:widowControl/>
              <w:jc w:val="left"/>
              <w:rPr>
                <w:rStyle w:val="12"/>
                <w:rFonts w:hint="eastAsia" w:ascii="宋体" w:hAnsi="宋体" w:eastAsia="宋体"/>
                <w:kern w:val="0"/>
                <w:sz w:val="24"/>
                <w:szCs w:val="22"/>
                <w:lang w:val="en-US" w:eastAsia="zh-CN"/>
              </w:rPr>
            </w:pPr>
            <w:r>
              <w:rPr>
                <w:rStyle w:val="12"/>
                <w:rFonts w:hint="eastAsia" w:ascii="宋体" w:hAnsi="宋体" w:eastAsia="宋体"/>
                <w:kern w:val="0"/>
                <w:sz w:val="24"/>
                <w:szCs w:val="22"/>
                <w:lang w:val="en-US" w:eastAsia="zh-CN"/>
              </w:rPr>
              <w:t>张明保</w:t>
            </w:r>
          </w:p>
          <w:p>
            <w:pPr>
              <w:widowControl/>
              <w:jc w:val="left"/>
              <w:rPr>
                <w:rStyle w:val="12"/>
                <w:rFonts w:hint="eastAsia" w:ascii="宋体" w:hAnsi="宋体" w:eastAsia="宋体"/>
                <w:kern w:val="0"/>
                <w:sz w:val="24"/>
                <w:szCs w:val="22"/>
                <w:lang w:val="en-US" w:eastAsia="zh-CN"/>
              </w:rPr>
            </w:pPr>
            <w:r>
              <w:rPr>
                <w:rStyle w:val="12"/>
                <w:rFonts w:hint="eastAsia" w:ascii="宋体" w:hAnsi="宋体" w:eastAsia="宋体"/>
                <w:kern w:val="0"/>
                <w:sz w:val="24"/>
                <w:szCs w:val="22"/>
                <w:lang w:val="en-US" w:eastAsia="zh-CN"/>
              </w:rPr>
              <w:t>陈登超</w:t>
            </w:r>
          </w:p>
          <w:p>
            <w:pPr>
              <w:widowControl/>
              <w:jc w:val="left"/>
              <w:rPr>
                <w:rStyle w:val="12"/>
                <w:rFonts w:hint="eastAsia" w:ascii="宋体" w:hAnsi="宋体" w:eastAsia="宋体"/>
                <w:kern w:val="0"/>
                <w:sz w:val="24"/>
                <w:szCs w:val="22"/>
                <w:lang w:val="en-US" w:eastAsia="zh-CN"/>
              </w:rPr>
            </w:pPr>
            <w:r>
              <w:rPr>
                <w:rStyle w:val="12"/>
                <w:rFonts w:hint="eastAsia" w:ascii="宋体" w:hAnsi="宋体" w:eastAsia="宋体"/>
                <w:kern w:val="0"/>
                <w:sz w:val="24"/>
                <w:szCs w:val="22"/>
                <w:lang w:val="en-US" w:eastAsia="zh-CN"/>
              </w:rPr>
              <w:t>郑永虹</w:t>
            </w:r>
          </w:p>
          <w:p>
            <w:pPr>
              <w:widowControl/>
              <w:jc w:val="left"/>
              <w:rPr>
                <w:rStyle w:val="12"/>
                <w:rFonts w:hint="eastAsia" w:ascii="宋体" w:hAnsi="宋体" w:eastAsia="宋体"/>
                <w:kern w:val="0"/>
                <w:sz w:val="24"/>
                <w:szCs w:val="22"/>
                <w:lang w:val="en-US" w:eastAsia="zh-CN"/>
              </w:rPr>
            </w:pPr>
            <w:r>
              <w:rPr>
                <w:rStyle w:val="12"/>
                <w:rFonts w:hint="eastAsia" w:ascii="宋体" w:hAnsi="宋体" w:eastAsia="宋体"/>
                <w:kern w:val="0"/>
                <w:sz w:val="24"/>
                <w:szCs w:val="22"/>
                <w:lang w:val="en-US" w:eastAsia="zh-CN"/>
              </w:rPr>
              <w:t>兰政英</w:t>
            </w:r>
          </w:p>
          <w:p>
            <w:pPr>
              <w:widowControl/>
              <w:jc w:val="left"/>
              <w:rPr>
                <w:rStyle w:val="12"/>
                <w:rFonts w:hint="eastAsia" w:ascii="宋体" w:hAnsi="宋体" w:eastAsia="宋体"/>
                <w:kern w:val="0"/>
                <w:sz w:val="24"/>
                <w:szCs w:val="22"/>
                <w:lang w:val="en-US" w:eastAsia="zh-CN"/>
              </w:rPr>
            </w:pPr>
            <w:r>
              <w:rPr>
                <w:rStyle w:val="12"/>
                <w:rFonts w:hint="eastAsia" w:ascii="宋体" w:hAnsi="宋体" w:eastAsia="宋体"/>
                <w:kern w:val="0"/>
                <w:sz w:val="24"/>
                <w:szCs w:val="22"/>
                <w:lang w:val="en-US" w:eastAsia="zh-CN"/>
              </w:rPr>
              <w:t>王志国</w:t>
            </w:r>
          </w:p>
        </w:tc>
        <w:tc>
          <w:tcPr>
            <w:tcW w:w="3872" w:type="dxa"/>
            <w:vAlign w:val="center"/>
          </w:tcPr>
          <w:p>
            <w:pPr>
              <w:widowControl/>
              <w:jc w:val="left"/>
              <w:rPr>
                <w:rStyle w:val="12"/>
                <w:rFonts w:hint="default" w:ascii="宋体" w:hAnsi="宋体" w:eastAsia="宋体"/>
                <w:kern w:val="0"/>
                <w:sz w:val="24"/>
                <w:szCs w:val="22"/>
                <w:lang w:val="en-US" w:eastAsia="zh-CN"/>
              </w:rPr>
            </w:pPr>
            <w:r>
              <w:rPr>
                <w:rStyle w:val="12"/>
                <w:rFonts w:hint="default" w:ascii="宋体" w:hAnsi="宋体" w:eastAsia="宋体"/>
                <w:kern w:val="0"/>
                <w:sz w:val="24"/>
                <w:szCs w:val="22"/>
                <w:lang w:val="en-US" w:eastAsia="zh-CN"/>
              </w:rPr>
              <w:t>贵州兄弟律师事务所</w:t>
            </w:r>
            <w:r>
              <w:rPr>
                <w:rStyle w:val="12"/>
                <w:rFonts w:hint="eastAsia" w:ascii="宋体" w:hAnsi="宋体"/>
                <w:kern w:val="0"/>
                <w:sz w:val="24"/>
                <w:szCs w:val="22"/>
                <w:lang w:val="en-US" w:eastAsia="zh-CN"/>
              </w:rPr>
              <w:t xml:space="preserve"> </w:t>
            </w:r>
          </w:p>
        </w:tc>
        <w:tc>
          <w:tcPr>
            <w:tcW w:w="1440" w:type="dxa"/>
            <w:vAlign w:val="center"/>
          </w:tcPr>
          <w:p>
            <w:pPr>
              <w:widowControl/>
              <w:jc w:val="left"/>
              <w:rPr>
                <w:rStyle w:val="12"/>
                <w:rFonts w:hint="default" w:ascii="宋体" w:hAnsi="宋体" w:eastAsia="宋体"/>
                <w:kern w:val="0"/>
                <w:sz w:val="24"/>
                <w:szCs w:val="22"/>
                <w:lang w:val="en-US" w:eastAsia="zh-CN"/>
              </w:rPr>
            </w:pPr>
            <w:r>
              <w:rPr>
                <w:rStyle w:val="12"/>
                <w:rFonts w:hint="default" w:ascii="宋体" w:hAnsi="宋体" w:eastAsia="宋体"/>
                <w:kern w:val="0"/>
                <w:sz w:val="24"/>
                <w:szCs w:val="22"/>
                <w:lang w:val="en-US" w:eastAsia="zh-CN"/>
              </w:rPr>
              <w:t>556</w:t>
            </w:r>
            <w:r>
              <w:rPr>
                <w:rStyle w:val="12"/>
                <w:rFonts w:hint="eastAsia" w:ascii="宋体" w:hAnsi="宋体"/>
                <w:kern w:val="0"/>
                <w:sz w:val="24"/>
                <w:szCs w:val="22"/>
                <w:lang w:val="en-US" w:eastAsia="zh-CN"/>
              </w:rPr>
              <w:t>0</w:t>
            </w:r>
            <w:r>
              <w:rPr>
                <w:rStyle w:val="12"/>
                <w:rFonts w:hint="default" w:ascii="宋体" w:hAnsi="宋体" w:eastAsia="宋体"/>
                <w:kern w:val="0"/>
                <w:sz w:val="24"/>
                <w:szCs w:val="22"/>
                <w:lang w:val="en-US" w:eastAsia="zh-CN"/>
              </w:rPr>
              <w:t>00</w:t>
            </w:r>
          </w:p>
        </w:tc>
        <w:tc>
          <w:tcPr>
            <w:tcW w:w="1485" w:type="dxa"/>
            <w:vAlign w:val="center"/>
          </w:tcPr>
          <w:p>
            <w:pPr>
              <w:widowControl/>
              <w:jc w:val="left"/>
              <w:rPr>
                <w:rStyle w:val="12"/>
                <w:rFonts w:hint="default" w:ascii="宋体" w:hAnsi="宋体" w:eastAsia="宋体"/>
                <w:kern w:val="0"/>
                <w:sz w:val="24"/>
                <w:szCs w:val="22"/>
                <w:lang w:val="en-US" w:eastAsia="zh-CN"/>
              </w:rPr>
            </w:pPr>
            <w:r>
              <w:rPr>
                <w:rStyle w:val="12"/>
                <w:rFonts w:hint="default" w:ascii="宋体" w:hAnsi="宋体" w:eastAsia="宋体"/>
                <w:kern w:val="0"/>
                <w:sz w:val="24"/>
                <w:szCs w:val="22"/>
                <w:lang w:val="en-US" w:eastAsia="zh-CN"/>
              </w:rPr>
              <w:t>15985518888</w:t>
            </w:r>
          </w:p>
        </w:tc>
      </w:tr>
      <w:tr>
        <w:tblPrEx>
          <w:tblCellMar>
            <w:top w:w="0" w:type="dxa"/>
            <w:left w:w="15" w:type="dxa"/>
            <w:bottom w:w="0" w:type="dxa"/>
            <w:right w:w="15" w:type="dxa"/>
          </w:tblCellMar>
        </w:tblPrEx>
        <w:tc>
          <w:tcPr>
            <w:tcW w:w="1753" w:type="dxa"/>
            <w:vAlign w:val="center"/>
          </w:tcPr>
          <w:p>
            <w:pPr>
              <w:jc w:val="left"/>
              <w:rPr>
                <w:rStyle w:val="12"/>
                <w:rFonts w:hint="eastAsia" w:ascii="宋体" w:hAnsi="宋体" w:eastAsia="宋体"/>
                <w:kern w:val="0"/>
                <w:sz w:val="24"/>
                <w:lang w:eastAsia="zh-CN"/>
              </w:rPr>
            </w:pPr>
            <w:r>
              <w:rPr>
                <w:rStyle w:val="12"/>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2"/>
                <w:rFonts w:hint="eastAsia" w:ascii="宋体" w:hAnsi="宋体"/>
                <w:kern w:val="0"/>
                <w:sz w:val="24"/>
                <w:lang w:val="en-US" w:eastAsia="zh-CN"/>
              </w:rPr>
            </w:pPr>
            <w:r>
              <w:rPr>
                <w:rStyle w:val="12"/>
                <w:rFonts w:hint="eastAsia" w:ascii="宋体" w:hAnsi="宋体"/>
                <w:kern w:val="0"/>
                <w:sz w:val="24"/>
                <w:lang w:eastAsia="zh-CN"/>
              </w:rPr>
              <w:t>州委办秘书五科：</w:t>
            </w:r>
            <w:r>
              <w:rPr>
                <w:rStyle w:val="12"/>
                <w:rFonts w:hint="eastAsia" w:ascii="宋体" w:hAnsi="宋体"/>
                <w:kern w:val="0"/>
                <w:sz w:val="24"/>
                <w:lang w:val="en-US" w:eastAsia="zh-CN"/>
              </w:rPr>
              <w:t>8270060；</w:t>
            </w:r>
            <w:r>
              <w:rPr>
                <w:rStyle w:val="12"/>
                <w:rFonts w:hint="eastAsia" w:ascii="宋体" w:hAnsi="宋体"/>
                <w:kern w:val="0"/>
                <w:sz w:val="24"/>
                <w:lang w:eastAsia="zh-CN"/>
              </w:rPr>
              <w:t>州政府办建议提案科：</w:t>
            </w:r>
            <w:r>
              <w:rPr>
                <w:rStyle w:val="12"/>
                <w:rFonts w:hint="eastAsia" w:ascii="宋体" w:hAnsi="宋体"/>
                <w:kern w:val="0"/>
                <w:sz w:val="24"/>
                <w:lang w:val="en-US" w:eastAsia="zh-CN"/>
              </w:rPr>
              <w:t>8260016；</w:t>
            </w:r>
          </w:p>
          <w:p>
            <w:pPr>
              <w:jc w:val="left"/>
              <w:rPr>
                <w:rStyle w:val="12"/>
                <w:rFonts w:hint="default" w:ascii="宋体" w:hAnsi="宋体"/>
                <w:kern w:val="0"/>
                <w:sz w:val="24"/>
                <w:lang w:val="en-US"/>
              </w:rPr>
            </w:pPr>
            <w:r>
              <w:rPr>
                <w:rStyle w:val="12"/>
                <w:rFonts w:hint="eastAsia" w:ascii="宋体" w:hAnsi="宋体"/>
                <w:kern w:val="0"/>
                <w:sz w:val="24"/>
                <w:lang w:eastAsia="zh-CN"/>
              </w:rPr>
              <w:t>州政协提案委：</w:t>
            </w:r>
            <w:r>
              <w:rPr>
                <w:rStyle w:val="12"/>
                <w:rFonts w:hint="eastAsia" w:ascii="宋体" w:hAnsi="宋体"/>
                <w:kern w:val="0"/>
                <w:sz w:val="24"/>
                <w:lang w:val="en-US" w:eastAsia="zh-CN"/>
              </w:rPr>
              <w:t>8428866</w:t>
            </w:r>
            <w:r>
              <w:rPr>
                <w:rStyle w:val="12"/>
                <w:rFonts w:hint="eastAsia" w:ascii="宋体" w:hAnsi="宋体"/>
                <w:kern w:val="0"/>
                <w:sz w:val="24"/>
                <w:lang w:eastAsia="zh-CN"/>
              </w:rPr>
              <w:t>。</w:t>
            </w:r>
          </w:p>
        </w:tc>
      </w:tr>
    </w:tbl>
    <w:p>
      <w:pPr>
        <w:jc w:val="left"/>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2"/>
          <w:rFonts w:hint="eastAsia" w:ascii="仿宋_GB2312" w:hAnsi="宋体" w:eastAsia="仿宋_GB2312"/>
          <w:kern w:val="0"/>
          <w:sz w:val="32"/>
          <w:szCs w:val="32"/>
        </w:rPr>
      </w:pPr>
      <w:r>
        <w:rPr>
          <w:rStyle w:val="12"/>
          <w:rFonts w:hint="eastAsia" w:ascii="仿宋_GB2312" w:hAnsi="宋体" w:eastAsia="仿宋_GB2312"/>
          <w:kern w:val="0"/>
          <w:sz w:val="32"/>
          <w:szCs w:val="32"/>
        </w:rPr>
        <w:t>内容和办法</w:t>
      </w:r>
      <w:r>
        <w:rPr>
          <w:rStyle w:val="12"/>
          <w:rFonts w:hint="eastAsia" w:ascii="仿宋_GB2312" w:hAnsi="宋体" w:eastAsia="仿宋_GB2312"/>
          <w:kern w:val="0"/>
          <w:sz w:val="32"/>
          <w:szCs w:val="32"/>
          <w:lang w:eastAsia="zh-CN"/>
        </w:rPr>
        <w:t>：</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目前居民小区内的私搭乱建现象比较普遍，一些新建小区内同样存在着私自搭建建筑物的现象。在凯里市行政执法局统计的31个小区32198户中私搭乱建达的有2135户，占比6.63%，而由市综合执法局保守估计的违章建筑高达51600余处（户），涉及面积逾110多万平方米。</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私搭乱建的方式主要包括：有的圈占小区绿地种菜、有的圈占小区绿地养鸡养鸭、有的在自家门前占用公共道路建设私家车库、有的圈占小区绿地盖房并进行出租、有的擅自封闭楼顶露台、挖地下室、改造管道等等。私搭乱建行为泛滥的原因：</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是主管部门权责不清、管理起来不畅通。按照城乡规划有关规定，新建小区在规划验收前的违法建设由规划部门查处；验收合格后产生的违法建筑由城市综合行政执法机关查处。部门之间的工作衔接还有很多不到位的地方，前一个部门如果查处不力，很容易给后面的执法工作留下后患。</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是物业管理部门迫于压力不敢管理。私搭乱建的业主通常会以拒交物业费的方式向物业公司施压，物业公司作为服务部门，不是执法单位，约束不了业主私搭乱建的违法行为。迄今据不完全统计，移民、廉租房七个小区合计户数11336户，欠缴物业费6810户，占比60%；商品房住宅60个小区合计户数48418，欠缴物业费24941户，占比51.5%，欠缴水费12721户，占比26.27%，欠缴电费95户，占比1.96%。</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是法律法规需要进一步完善。《民法典》规定房屋分为专有部分和共有部分，如业主对公共部分建筑物或者附属物部分进行私搭乱建，仅仅是依靠业主以侵权的方式进行维权，存在着举证不能的法律风险，显然达不到禁止私搭乱建的效果。同时，房地产开发和物业管理的法律法规中，行政权力并没有对于业主的私搭乱建行为作出明确的行政处罚规定，也导致了私搭乱建的违法现象屡禁不止。</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建议：</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一是完善法规。明确私搭乱建行为的界定标准、处罚范围和处罚方式，让业主知道法规的界限在哪，知道违法的成本是巨大的，让他们不敢轻易触碰法律的红线。同时，通过普法宣传，使业主树立起维权意识，使用合法手段敢于同私搭乱建行为说“不”。</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二是强化社区自治管理。推广业主委员会管理制度，由业主委员会通过自治章程实现小区的自治管理。同时，要加强小区业主之间、居委会对业主、物业公司对业主的监督，一旦发现有私搭乱建行为，应立即向主管部门举报。</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三是建立联动执法机制。规划部门、城管部门和行政执法部门要联合行动，对私搭乱建的小区和住户，发现一个制止一个，劝说不服从的，必须依法进行处罚，强行拆除；物业公司和业主委员会应与主管部门联动，对私搭乱建现象做到早发现、早制止、早治理。</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四是建立长效机制，防止死灰复燃。对于违章建筑，坚决予以拆除；对于拒不执行的，坚决不予通水、通电、通气，并诉诸法律手段解决；对于违章建筑的非法收入要坚决没收，并依法处罚。工商部门对于在违章建筑里进行生产经营的单位和个体工商户一律不颁发生产许可，不得对此类商户进行年检。</w:t>
      </w:r>
    </w:p>
    <w:p>
      <w:pPr>
        <w:spacing w:line="560" w:lineRule="exact"/>
        <w:ind w:firstLine="640" w:firstLineChars="200"/>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五是加强政府管理督导和介入意识。一方面进行普法宣传，增强人民群众的法律意识、公共意识、维权意识，另一方面指导成立业主委员会，真正发挥业主委员会在公共管理中的作用。</w:t>
      </w:r>
    </w:p>
    <w:p>
      <w:pPr>
        <w:spacing w:line="560" w:lineRule="exact"/>
        <w:ind w:firstLine="640" w:firstLineChars="200"/>
        <w:rPr>
          <w:rFonts w:hint="default" w:ascii="仿宋" w:hAnsi="仿宋" w:eastAsia="仿宋" w:cs="仿宋"/>
          <w:color w:val="333333"/>
          <w:sz w:val="32"/>
          <w:szCs w:val="32"/>
          <w:shd w:val="clear" w:color="auto" w:fill="FFFFFF"/>
          <w:lang w:val="en-US" w:eastAsia="zh-CN"/>
        </w:rPr>
      </w:pPr>
    </w:p>
    <w:p>
      <w:pPr>
        <w:spacing w:line="560" w:lineRule="exact"/>
        <w:ind w:firstLine="643" w:firstLineChars="200"/>
        <w:rPr>
          <w:rStyle w:val="12"/>
          <w:rFonts w:hint="eastAsia" w:ascii="仿宋" w:hAnsi="仿宋" w:eastAsia="仿宋" w:cs="仿宋"/>
          <w:kern w:val="0"/>
          <w:sz w:val="32"/>
          <w:szCs w:val="32"/>
          <w:lang w:val="en-US" w:eastAsia="zh-CN"/>
        </w:rPr>
      </w:pPr>
      <w:r>
        <w:rPr>
          <w:rStyle w:val="12"/>
          <w:rFonts w:hint="eastAsia" w:ascii="黑体" w:hAnsi="黑体" w:eastAsia="黑体" w:cs="黑体"/>
          <w:b/>
          <w:bCs/>
          <w:kern w:val="0"/>
          <w:sz w:val="32"/>
          <w:szCs w:val="32"/>
          <w:lang w:val="en-US" w:eastAsia="zh-CN"/>
        </w:rPr>
        <w:t>注：</w:t>
      </w:r>
      <w:r>
        <w:rPr>
          <w:rStyle w:val="12"/>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spacing w:line="560" w:lineRule="exact"/>
        <w:ind w:firstLine="1280" w:firstLineChars="400"/>
        <w:rPr>
          <w:rStyle w:val="12"/>
          <w:rFonts w:hint="default" w:ascii="仿宋" w:hAnsi="仿宋" w:eastAsia="仿宋" w:cs="仿宋"/>
          <w:kern w:val="0"/>
          <w:sz w:val="32"/>
          <w:szCs w:val="32"/>
          <w:lang w:val="en-US" w:eastAsia="zh-CN"/>
        </w:rPr>
      </w:pPr>
      <w:r>
        <w:rPr>
          <w:rStyle w:val="12"/>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137C9"/>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5639B7"/>
    <w:rsid w:val="08DF7FD3"/>
    <w:rsid w:val="0CFE2127"/>
    <w:rsid w:val="0E6211D8"/>
    <w:rsid w:val="10B40BCC"/>
    <w:rsid w:val="10F40BE4"/>
    <w:rsid w:val="118823F2"/>
    <w:rsid w:val="14B55B05"/>
    <w:rsid w:val="14FB1B14"/>
    <w:rsid w:val="169647CD"/>
    <w:rsid w:val="17952A0B"/>
    <w:rsid w:val="188C1484"/>
    <w:rsid w:val="18EC1E64"/>
    <w:rsid w:val="1A917DD9"/>
    <w:rsid w:val="1BAB45FA"/>
    <w:rsid w:val="1C3D0309"/>
    <w:rsid w:val="20790890"/>
    <w:rsid w:val="209D5BC6"/>
    <w:rsid w:val="21EA0B57"/>
    <w:rsid w:val="255649A8"/>
    <w:rsid w:val="26A31BEB"/>
    <w:rsid w:val="278B5D37"/>
    <w:rsid w:val="285B3E37"/>
    <w:rsid w:val="29516A7C"/>
    <w:rsid w:val="29EB237C"/>
    <w:rsid w:val="2B91741D"/>
    <w:rsid w:val="2C125075"/>
    <w:rsid w:val="2DED1791"/>
    <w:rsid w:val="2E26699A"/>
    <w:rsid w:val="2FD84B80"/>
    <w:rsid w:val="30B878C9"/>
    <w:rsid w:val="30C355A4"/>
    <w:rsid w:val="312C2212"/>
    <w:rsid w:val="33552650"/>
    <w:rsid w:val="36DF2C6D"/>
    <w:rsid w:val="377737A4"/>
    <w:rsid w:val="38512AAE"/>
    <w:rsid w:val="38D60616"/>
    <w:rsid w:val="38E6072A"/>
    <w:rsid w:val="3A7B4D73"/>
    <w:rsid w:val="3F1A5C90"/>
    <w:rsid w:val="42F10C9F"/>
    <w:rsid w:val="43953D03"/>
    <w:rsid w:val="440C12B4"/>
    <w:rsid w:val="44AF3CA3"/>
    <w:rsid w:val="470F7444"/>
    <w:rsid w:val="48BF0ACA"/>
    <w:rsid w:val="48F66091"/>
    <w:rsid w:val="4A196944"/>
    <w:rsid w:val="4AFB1C7E"/>
    <w:rsid w:val="4D04300E"/>
    <w:rsid w:val="4E0963F8"/>
    <w:rsid w:val="4E6A17E5"/>
    <w:rsid w:val="4F6B5D70"/>
    <w:rsid w:val="50361239"/>
    <w:rsid w:val="507F065A"/>
    <w:rsid w:val="51B406C1"/>
    <w:rsid w:val="52263247"/>
    <w:rsid w:val="5236789E"/>
    <w:rsid w:val="52594BAC"/>
    <w:rsid w:val="5497004A"/>
    <w:rsid w:val="556B0F96"/>
    <w:rsid w:val="559F1A55"/>
    <w:rsid w:val="55B805B9"/>
    <w:rsid w:val="58167D2D"/>
    <w:rsid w:val="5902530C"/>
    <w:rsid w:val="5A7C34BF"/>
    <w:rsid w:val="5AA17385"/>
    <w:rsid w:val="5B55151A"/>
    <w:rsid w:val="5B564800"/>
    <w:rsid w:val="5B7C24C8"/>
    <w:rsid w:val="5C342431"/>
    <w:rsid w:val="5CEC5AA8"/>
    <w:rsid w:val="5F1D4C21"/>
    <w:rsid w:val="5FDA608F"/>
    <w:rsid w:val="617E5CD0"/>
    <w:rsid w:val="61895CCF"/>
    <w:rsid w:val="61C325AD"/>
    <w:rsid w:val="62384D4B"/>
    <w:rsid w:val="62CB18FB"/>
    <w:rsid w:val="64010D57"/>
    <w:rsid w:val="66F35DD9"/>
    <w:rsid w:val="67210F58"/>
    <w:rsid w:val="67AD6576"/>
    <w:rsid w:val="6854075C"/>
    <w:rsid w:val="69A37ABB"/>
    <w:rsid w:val="6A9524E1"/>
    <w:rsid w:val="6AA44A20"/>
    <w:rsid w:val="72A61A44"/>
    <w:rsid w:val="73746A5F"/>
    <w:rsid w:val="74007530"/>
    <w:rsid w:val="75E22452"/>
    <w:rsid w:val="77DC05AA"/>
    <w:rsid w:val="78421D59"/>
    <w:rsid w:val="7AF667DD"/>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style>
  <w:style w:type="paragraph" w:styleId="3">
    <w:name w:val="Body Text"/>
    <w:basedOn w:val="1"/>
    <w:qFormat/>
    <w:uiPriority w:val="0"/>
  </w:style>
  <w:style w:type="paragraph" w:styleId="4">
    <w:name w:val="footer"/>
    <w:basedOn w:val="1"/>
    <w:link w:val="24"/>
    <w:qFormat/>
    <w:uiPriority w:val="99"/>
    <w:pPr>
      <w:snapToGrid w:val="0"/>
      <w:jc w:val="left"/>
    </w:pPr>
    <w:rPr>
      <w:sz w:val="18"/>
      <w:szCs w:val="18"/>
    </w:rPr>
  </w:style>
  <w:style w:type="paragraph" w:styleId="5">
    <w:name w:val="header"/>
    <w:basedOn w:val="1"/>
    <w:qFormat/>
    <w:uiPriority w:val="0"/>
    <w:pPr>
      <w:pBdr>
        <w:bottom w:val="single" w:color="000000" w:sz="6" w:space="0"/>
      </w:pBdr>
      <w:snapToGrid w:val="0"/>
      <w:jc w:val="center"/>
    </w:pPr>
    <w:rPr>
      <w:sz w:val="18"/>
      <w:szCs w:val="18"/>
    </w:rPr>
  </w:style>
  <w:style w:type="paragraph" w:styleId="6">
    <w:name w:val="index 9"/>
    <w:next w:val="1"/>
    <w:qFormat/>
    <w:uiPriority w:val="0"/>
    <w:pPr>
      <w:widowControl w:val="0"/>
      <w:ind w:left="1600" w:leftChars="1600"/>
      <w:jc w:val="both"/>
    </w:pPr>
    <w:rPr>
      <w:rFonts w:ascii="Times New Roman" w:hAnsi="Times New Roman" w:eastAsia="宋体" w:cs="Times New Roman"/>
      <w:kern w:val="2"/>
      <w:sz w:val="21"/>
      <w:szCs w:val="24"/>
      <w:lang w:val="en-US" w:eastAsia="zh-CN" w:bidi="ar-SA"/>
    </w:rPr>
  </w:style>
  <w:style w:type="paragraph" w:styleId="7">
    <w:name w:val="Normal (Web)"/>
    <w:basedOn w:val="1"/>
    <w:next w:val="6"/>
    <w:qFormat/>
    <w:uiPriority w:val="0"/>
    <w:pPr>
      <w:spacing w:beforeAutospacing="1" w:afterAutospacing="1"/>
      <w:jc w:val="left"/>
    </w:pPr>
    <w:rPr>
      <w:kern w:val="0"/>
      <w:sz w:val="24"/>
    </w:rPr>
  </w:style>
  <w:style w:type="character" w:styleId="10">
    <w:name w:val="Strong"/>
    <w:qFormat/>
    <w:uiPriority w:val="0"/>
    <w:rPr>
      <w:rFonts w:cs="Times New Roman"/>
      <w:b/>
      <w:bCs/>
    </w:rPr>
  </w:style>
  <w:style w:type="character" w:styleId="11">
    <w:name w:val="Hyperlink"/>
    <w:basedOn w:val="12"/>
    <w:semiHidden/>
    <w:qFormat/>
    <w:uiPriority w:val="0"/>
    <w:rPr>
      <w:color w:val="0000FF"/>
      <w:u w:val="single"/>
    </w:rPr>
  </w:style>
  <w:style w:type="character" w:customStyle="1" w:styleId="12">
    <w:name w:val="NormalCharacter"/>
    <w:semiHidden/>
    <w:qFormat/>
    <w:uiPriority w:val="0"/>
  </w:style>
  <w:style w:type="paragraph" w:customStyle="1" w:styleId="13">
    <w:name w:val="正文-公1"/>
    <w:basedOn w:val="14"/>
    <w:next w:val="7"/>
    <w:qFormat/>
    <w:uiPriority w:val="0"/>
    <w:pPr>
      <w:ind w:firstLine="200"/>
    </w:pPr>
  </w:style>
  <w:style w:type="paragraph" w:customStyle="1" w:styleId="14">
    <w:name w:val="正文 New New New"/>
    <w:next w:val="1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
    <w:name w:val="Heading1"/>
    <w:basedOn w:val="1"/>
    <w:link w:val="21"/>
    <w:qFormat/>
    <w:uiPriority w:val="0"/>
    <w:pPr>
      <w:spacing w:before="100" w:beforeAutospacing="1" w:after="100" w:afterAutospacing="1"/>
      <w:jc w:val="left"/>
    </w:pPr>
    <w:rPr>
      <w:rFonts w:ascii="宋体" w:hAnsi="宋体" w:cs="宋体"/>
      <w:b/>
      <w:bCs/>
      <w:kern w:val="36"/>
      <w:sz w:val="48"/>
      <w:szCs w:val="48"/>
    </w:rPr>
  </w:style>
  <w:style w:type="table" w:customStyle="1" w:styleId="16">
    <w:name w:val="TableNormal"/>
    <w:semiHidden/>
    <w:qFormat/>
    <w:uiPriority w:val="0"/>
    <w:tblPr>
      <w:tblCellMar>
        <w:top w:w="0" w:type="dxa"/>
        <w:left w:w="0" w:type="dxa"/>
        <w:bottom w:w="0" w:type="dxa"/>
        <w:right w:w="0" w:type="dxa"/>
      </w:tblCellMar>
    </w:tblPr>
  </w:style>
  <w:style w:type="paragraph" w:customStyle="1" w:styleId="17">
    <w:name w:val="Acetate"/>
    <w:basedOn w:val="1"/>
    <w:qFormat/>
    <w:uiPriority w:val="0"/>
    <w:rPr>
      <w:sz w:val="18"/>
      <w:szCs w:val="18"/>
    </w:rPr>
  </w:style>
  <w:style w:type="paragraph" w:customStyle="1" w:styleId="18">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9">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20">
    <w:name w:val="UserStyle_2"/>
    <w:basedOn w:val="1"/>
    <w:qFormat/>
    <w:uiPriority w:val="0"/>
    <w:pPr>
      <w:spacing w:before="100" w:beforeAutospacing="1" w:after="100" w:afterAutospacing="1"/>
      <w:jc w:val="left"/>
    </w:pPr>
    <w:rPr>
      <w:rFonts w:ascii="宋体" w:hAnsi="宋体"/>
      <w:kern w:val="0"/>
      <w:sz w:val="24"/>
    </w:rPr>
  </w:style>
  <w:style w:type="character" w:customStyle="1" w:styleId="21">
    <w:name w:val="UserStyle_3"/>
    <w:basedOn w:val="12"/>
    <w:link w:val="15"/>
    <w:qFormat/>
    <w:uiPriority w:val="0"/>
    <w:rPr>
      <w:rFonts w:ascii="宋体" w:hAnsi="宋体" w:cs="宋体"/>
      <w:b/>
      <w:bCs/>
      <w:kern w:val="36"/>
      <w:sz w:val="48"/>
      <w:szCs w:val="48"/>
    </w:rPr>
  </w:style>
  <w:style w:type="character" w:customStyle="1" w:styleId="22">
    <w:name w:val="UserStyle_4"/>
    <w:basedOn w:val="12"/>
    <w:qFormat/>
    <w:uiPriority w:val="0"/>
  </w:style>
  <w:style w:type="paragraph" w:customStyle="1" w:styleId="23">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4">
    <w:name w:val="页脚 Char"/>
    <w:basedOn w:val="9"/>
    <w:link w:val="4"/>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1509</Words>
  <Characters>1608</Characters>
  <Lines>14</Lines>
  <Paragraphs>4</Paragraphs>
  <TotalTime>2</TotalTime>
  <ScaleCrop>false</ScaleCrop>
  <LinksUpToDate>false</LinksUpToDate>
  <CharactersWithSpaces>1640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丘丘</cp:lastModifiedBy>
  <cp:lastPrinted>2022-01-07T03:13:00Z</cp:lastPrinted>
  <dcterms:modified xsi:type="dcterms:W3CDTF">2022-03-29T06:55:56Z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