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600" w:lineRule="exact"/>
        <w:jc w:val="center"/>
        <w:rPr>
          <w:rStyle w:val="11"/>
          <w:rFonts w:ascii="黑体" w:eastAsia="黑体"/>
          <w:sz w:val="44"/>
          <w:szCs w:val="44"/>
        </w:rPr>
      </w:pPr>
      <w:r>
        <w:rPr>
          <w:rStyle w:val="9"/>
          <w:rFonts w:ascii="黑体" w:eastAsia="黑体" w:cs="宋体"/>
          <w:sz w:val="44"/>
          <w:szCs w:val="44"/>
        </w:rPr>
        <w:t>中国人民政治协商会议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黔东南苗族侗族自治州委员会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提</w:t>
      </w:r>
      <w:r>
        <w:rPr>
          <w:rStyle w:val="11"/>
          <w:rFonts w:hint="eastAsia"/>
          <w:sz w:val="44"/>
          <w:szCs w:val="44"/>
        </w:rPr>
        <w:t xml:space="preserve">   </w:t>
      </w:r>
      <w:r>
        <w:rPr>
          <w:rStyle w:val="11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1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1"/>
          <w:rFonts w:ascii="宋体" w:hAnsi="宋体"/>
          <w:kern w:val="0"/>
          <w:sz w:val="24"/>
        </w:rPr>
        <w:t>第十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1"/>
          <w:rFonts w:ascii="宋体" w:hAnsi="宋体"/>
          <w:kern w:val="0"/>
          <w:sz w:val="24"/>
        </w:rPr>
        <w:t>届第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1"/>
          <w:rFonts w:ascii="宋体" w:hAnsi="宋体"/>
          <w:kern w:val="0"/>
          <w:sz w:val="24"/>
        </w:rPr>
        <w:t>次会议　       　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175</w:t>
      </w:r>
      <w:r>
        <w:rPr>
          <w:rStyle w:val="11"/>
          <w:rFonts w:ascii="宋体" w:hAnsi="宋体"/>
          <w:kern w:val="0"/>
          <w:sz w:val="24"/>
        </w:rPr>
        <w:t xml:space="preserve">号　    </w:t>
      </w:r>
      <w:r>
        <w:rPr>
          <w:rStyle w:val="11"/>
          <w:rFonts w:hint="eastAsia" w:ascii="宋体" w:hAnsi="宋体"/>
          <w:kern w:val="0"/>
          <w:sz w:val="24"/>
        </w:rPr>
        <w:t xml:space="preserve">    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 xml:space="preserve"> 类别：政治建设类     </w:t>
      </w:r>
    </w:p>
    <w:p>
      <w:pPr>
        <w:spacing w:line="320" w:lineRule="exact"/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7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关于进一步规范我州自媒体平台管理的建议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主办：州文体广电旅游局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 xml:space="preserve">  会办：州委宣传部、州融媒体中心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黑体" w:hAnsi="宋体" w:eastAsia="黑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吴贤和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镇远县融媒体中心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557700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18385687038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自媒体有别于由专业媒体机构主导的信息传播，它是由普通大众主导的信息传播活动。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近年来，自媒体平台极大地丰富了广大群众对精神文化需求。但因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其平民化、低门槛、易操作、传播快的特点，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导致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互联网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上的自媒体平台井喷，部分运营者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普遍素质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不高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加之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缺乏适当的监管，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低级红，高级黑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”、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内容失实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价值观导向不正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乱象时有发生，极易造成负面影响。应及时进一步规范自媒体平台的运营管理，积极营造风清气正、积极向上的网络空间环境，为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开创百姓富、生态美的锦绣黔东南新未来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营造良好的舆论氛围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引导自媒体传播者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强化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自我管理，规范从业守则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特别是对关注群体较大的平台运营者要开展常态化教育培训，提升运营者的政治素养、业务水平，并吸纳优质自媒体平台运营者组成骨干自媒体队伍，筑牢宣传舆论阵地。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二是加强州县融媒体中心共建，在人才、资金、技术、平台等多层次、多方面互融共通，做强做优媒体矩阵，在全州打造大宣传格局，让广大群众自觉接受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instrText xml:space="preserve"> HYPERLINK "https://baike.so.com/doc/6649194-6863011.html" \t "https://baike.so.com/doc/_blank" </w:instrTex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主流媒体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发出的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"统一声音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加强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监管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措施，建立可行的传播管理制度，创建与平台管理者的沟通机制，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加大违规惩处力度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w w:val="95"/>
          <w:kern w:val="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四是进一步规范相关职能部门运营的自媒体平台，强化“一把手”负责制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严格落实“三审三校”制度，确保信息发布准确，并将部门平台内容生产上存在的问题纳入意识形态考核。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rPr>
          <w:rStyle w:val="11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45F3915"/>
    <w:rsid w:val="06503351"/>
    <w:rsid w:val="07D26AFC"/>
    <w:rsid w:val="08B66956"/>
    <w:rsid w:val="10B40BCC"/>
    <w:rsid w:val="118823F2"/>
    <w:rsid w:val="16F969DB"/>
    <w:rsid w:val="18EC1E64"/>
    <w:rsid w:val="1B913D76"/>
    <w:rsid w:val="1BAB45FA"/>
    <w:rsid w:val="1D124BB8"/>
    <w:rsid w:val="20E366FE"/>
    <w:rsid w:val="21EA0B57"/>
    <w:rsid w:val="23370767"/>
    <w:rsid w:val="280B3E99"/>
    <w:rsid w:val="29BB0497"/>
    <w:rsid w:val="29EB237C"/>
    <w:rsid w:val="2BDD0731"/>
    <w:rsid w:val="2FD84B80"/>
    <w:rsid w:val="2FDA7564"/>
    <w:rsid w:val="30B878C9"/>
    <w:rsid w:val="32794BB9"/>
    <w:rsid w:val="33552650"/>
    <w:rsid w:val="35A1653F"/>
    <w:rsid w:val="377737A4"/>
    <w:rsid w:val="38D60616"/>
    <w:rsid w:val="3A7B4D73"/>
    <w:rsid w:val="3F1A5C90"/>
    <w:rsid w:val="42F10C9F"/>
    <w:rsid w:val="455C4EDF"/>
    <w:rsid w:val="493508EE"/>
    <w:rsid w:val="497C7186"/>
    <w:rsid w:val="4A196944"/>
    <w:rsid w:val="4A6A10A6"/>
    <w:rsid w:val="4F1E6C2C"/>
    <w:rsid w:val="4F6B5D70"/>
    <w:rsid w:val="4FD75182"/>
    <w:rsid w:val="507F065A"/>
    <w:rsid w:val="515D7F5E"/>
    <w:rsid w:val="5236789E"/>
    <w:rsid w:val="559F1A55"/>
    <w:rsid w:val="5A7C34BF"/>
    <w:rsid w:val="5AA17385"/>
    <w:rsid w:val="5B7C24C8"/>
    <w:rsid w:val="5C6B77F5"/>
    <w:rsid w:val="61895CCF"/>
    <w:rsid w:val="66F35DD9"/>
    <w:rsid w:val="67615A51"/>
    <w:rsid w:val="6854075C"/>
    <w:rsid w:val="69A37ABB"/>
    <w:rsid w:val="6A644AE2"/>
    <w:rsid w:val="6F5974BD"/>
    <w:rsid w:val="72DF1356"/>
    <w:rsid w:val="743C31A8"/>
    <w:rsid w:val="74620891"/>
    <w:rsid w:val="75FC7C1A"/>
    <w:rsid w:val="778C0E73"/>
    <w:rsid w:val="78491FD0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4">
    <w:name w:val="footer"/>
    <w:basedOn w:val="1"/>
    <w:link w:val="22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Hyperlink"/>
    <w:basedOn w:val="11"/>
    <w:semiHidden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13">
    <w:name w:val="Heading1"/>
    <w:basedOn w:val="1"/>
    <w:link w:val="1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Acetate"/>
    <w:basedOn w:val="1"/>
    <w:qFormat/>
    <w:uiPriority w:val="0"/>
    <w:rPr>
      <w:sz w:val="18"/>
      <w:szCs w:val="18"/>
    </w:rPr>
  </w:style>
  <w:style w:type="paragraph" w:customStyle="1" w:styleId="1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UserStyle_3"/>
    <w:basedOn w:val="11"/>
    <w:link w:val="1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UserStyle_4"/>
    <w:basedOn w:val="11"/>
    <w:qFormat/>
    <w:uiPriority w:val="0"/>
  </w:style>
  <w:style w:type="paragraph" w:customStyle="1" w:styleId="2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2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4">
    <w:name w:val="15"/>
    <w:basedOn w:val="8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يانغ يي</cp:lastModifiedBy>
  <cp:lastPrinted>2021-02-26T02:55:00Z</cp:lastPrinted>
  <dcterms:modified xsi:type="dcterms:W3CDTF">2022-01-06T08:40:00Z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D3517BACE6554AB78A6405A676D7F974</vt:lpwstr>
  </property>
</Properties>
</file>