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0" w:beforeAutospacing="0" w:after="0" w:afterAutospacing="0" w:line="600" w:lineRule="exact"/>
        <w:jc w:val="center"/>
        <w:rPr>
          <w:rStyle w:val="18"/>
          <w:rFonts w:ascii="黑体" w:eastAsia="黑体"/>
          <w:sz w:val="44"/>
          <w:szCs w:val="44"/>
        </w:rPr>
      </w:pPr>
      <w:r>
        <w:rPr>
          <w:rStyle w:val="16"/>
          <w:rFonts w:ascii="黑体" w:eastAsia="黑体" w:cs="宋体"/>
          <w:sz w:val="44"/>
          <w:szCs w:val="44"/>
        </w:rPr>
        <w:t>中国人民政治协商会议</w:t>
      </w:r>
    </w:p>
    <w:p>
      <w:pPr>
        <w:pStyle w:val="22"/>
        <w:spacing w:before="0" w:beforeAutospacing="0" w:after="0" w:afterAutospacing="0" w:line="600" w:lineRule="exact"/>
        <w:jc w:val="center"/>
        <w:rPr>
          <w:rStyle w:val="18"/>
          <w:rFonts w:hint="eastAsia"/>
          <w:sz w:val="44"/>
          <w:szCs w:val="44"/>
        </w:rPr>
      </w:pPr>
      <w:r>
        <w:rPr>
          <w:rStyle w:val="18"/>
          <w:sz w:val="44"/>
          <w:szCs w:val="44"/>
        </w:rPr>
        <w:t>黔东南苗族侗族自治州委员会</w:t>
      </w:r>
    </w:p>
    <w:p>
      <w:pPr>
        <w:pStyle w:val="22"/>
        <w:spacing w:before="0" w:beforeAutospacing="0" w:after="0" w:afterAutospacing="0" w:line="600" w:lineRule="exact"/>
        <w:jc w:val="center"/>
        <w:rPr>
          <w:rStyle w:val="18"/>
          <w:rFonts w:hint="eastAsia"/>
          <w:sz w:val="44"/>
          <w:szCs w:val="44"/>
        </w:rPr>
      </w:pPr>
      <w:r>
        <w:rPr>
          <w:rStyle w:val="18"/>
          <w:sz w:val="44"/>
          <w:szCs w:val="44"/>
        </w:rPr>
        <w:t>提</w:t>
      </w:r>
      <w:r>
        <w:rPr>
          <w:rStyle w:val="18"/>
          <w:rFonts w:hint="eastAsia"/>
          <w:sz w:val="44"/>
          <w:szCs w:val="44"/>
        </w:rPr>
        <w:t xml:space="preserve">   </w:t>
      </w:r>
      <w:r>
        <w:rPr>
          <w:rStyle w:val="18"/>
          <w:sz w:val="44"/>
          <w:szCs w:val="44"/>
        </w:rPr>
        <w:t>案</w:t>
      </w:r>
    </w:p>
    <w:p>
      <w:pPr>
        <w:spacing w:line="320" w:lineRule="exact"/>
        <w:jc w:val="center"/>
        <w:textAlignment w:val="top"/>
        <w:rPr>
          <w:rStyle w:val="18"/>
          <w:rFonts w:hint="eastAsia" w:ascii="宋体" w:hAnsi="宋体"/>
          <w:kern w:val="0"/>
          <w:sz w:val="24"/>
        </w:rPr>
      </w:pPr>
    </w:p>
    <w:p>
      <w:pPr>
        <w:spacing w:line="320" w:lineRule="exact"/>
        <w:jc w:val="center"/>
        <w:textAlignment w:val="top"/>
        <w:rPr>
          <w:rStyle w:val="18"/>
          <w:rFonts w:hint="eastAsia" w:ascii="宋体" w:hAnsi="宋体"/>
          <w:kern w:val="0"/>
          <w:sz w:val="24"/>
        </w:rPr>
      </w:pPr>
    </w:p>
    <w:p>
      <w:pPr>
        <w:spacing w:line="760" w:lineRule="exact"/>
        <w:jc w:val="both"/>
        <w:textAlignment w:val="top"/>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3ccfDTAAAAAwEAAA8AAAAAAAAAAQAgAAAAOAAAAGRycy9kb3ducmV2LnhtbFBLAQIUABQAAAAI&#10;AIdO4kDEGEtAowEAACwDAAAOAAAAAAAAAAEAIAAAADgBAABkcnMvZTJvRG9jLnhtbFBLBQYAAAAA&#10;BgAGAFkBAABNBQAAAAA=&#10;">
                <v:fill on="t" focussize="0,0"/>
                <v:stroke on="f"/>
                <v:imagedata o:title=""/>
                <o:lock v:ext="edit" aspectratio="f"/>
                <v:textbox>
                  <w:txbxContent>
                    <w:p/>
                  </w:txbxContent>
                </v:textbox>
                <w10:wrap type="none"/>
                <w10:anchorlock/>
              </v:rect>
            </w:pict>
          </mc:Fallback>
        </mc:AlternateContent>
      </w:r>
    </w:p>
    <w:p>
      <w:pPr>
        <w:spacing w:line="320" w:lineRule="exact"/>
        <w:rPr>
          <w:rStyle w:val="18"/>
          <w:rFonts w:hint="default" w:ascii="宋体" w:hAnsi="宋体" w:eastAsia="宋体"/>
          <w:kern w:val="0"/>
          <w:sz w:val="24"/>
          <w:lang w:val="en-US" w:eastAsia="zh-CN"/>
        </w:rPr>
      </w:pPr>
      <w:r>
        <w:rPr>
          <w:rStyle w:val="18"/>
          <w:rFonts w:ascii="宋体" w:hAnsi="宋体"/>
          <w:kern w:val="0"/>
          <w:sz w:val="24"/>
        </w:rPr>
        <w:t>第十</w:t>
      </w:r>
      <w:r>
        <w:rPr>
          <w:rStyle w:val="18"/>
          <w:rFonts w:hint="eastAsia" w:ascii="宋体" w:hAnsi="宋体"/>
          <w:kern w:val="0"/>
          <w:sz w:val="24"/>
          <w:lang w:val="en-US" w:eastAsia="zh-CN"/>
        </w:rPr>
        <w:t>三</w:t>
      </w:r>
      <w:r>
        <w:rPr>
          <w:rStyle w:val="18"/>
          <w:rFonts w:ascii="宋体" w:hAnsi="宋体"/>
          <w:kern w:val="0"/>
          <w:sz w:val="24"/>
        </w:rPr>
        <w:t>届第</w:t>
      </w:r>
      <w:r>
        <w:rPr>
          <w:rStyle w:val="18"/>
          <w:rFonts w:hint="eastAsia" w:ascii="宋体" w:hAnsi="宋体"/>
          <w:kern w:val="0"/>
          <w:sz w:val="24"/>
          <w:lang w:val="en-US" w:eastAsia="zh-CN"/>
        </w:rPr>
        <w:t>一</w:t>
      </w:r>
      <w:r>
        <w:rPr>
          <w:rStyle w:val="18"/>
          <w:rFonts w:ascii="宋体" w:hAnsi="宋体"/>
          <w:kern w:val="0"/>
          <w:sz w:val="24"/>
        </w:rPr>
        <w:t>次会议　       　第</w:t>
      </w:r>
      <w:r>
        <w:rPr>
          <w:rStyle w:val="18"/>
          <w:rFonts w:hint="eastAsia" w:ascii="宋体" w:hAnsi="宋体"/>
          <w:kern w:val="0"/>
          <w:sz w:val="24"/>
          <w:lang w:val="en-US" w:eastAsia="zh-CN"/>
        </w:rPr>
        <w:t>207</w:t>
      </w:r>
      <w:r>
        <w:rPr>
          <w:rStyle w:val="18"/>
          <w:rFonts w:ascii="宋体" w:hAnsi="宋体"/>
          <w:kern w:val="0"/>
          <w:sz w:val="24"/>
        </w:rPr>
        <w:t xml:space="preserve">号　    </w:t>
      </w:r>
      <w:r>
        <w:rPr>
          <w:rStyle w:val="18"/>
          <w:rFonts w:hint="eastAsia" w:ascii="宋体" w:hAnsi="宋体"/>
          <w:kern w:val="0"/>
          <w:sz w:val="24"/>
        </w:rPr>
        <w:t xml:space="preserve">    </w:t>
      </w:r>
      <w:r>
        <w:rPr>
          <w:rStyle w:val="18"/>
          <w:rFonts w:hint="eastAsia" w:ascii="宋体" w:hAnsi="宋体"/>
          <w:kern w:val="0"/>
          <w:sz w:val="24"/>
          <w:lang w:val="en-US" w:eastAsia="zh-CN"/>
        </w:rPr>
        <w:t xml:space="preserve"> 类别：社会建设类     </w:t>
      </w:r>
    </w:p>
    <w:p>
      <w:pPr>
        <w:spacing w:line="320" w:lineRule="exact"/>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3pt;width:415.35pt;" fillcolor="#ACA899" filled="t" stroked="f" coordsize="21600,21600" o:gfxdata="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zFbTtMAAAADAQAADwAAAAAAAAABACAAAAA4AAAAZHJzL2Rvd25yZXYueG1sUEsBAhQAFAAA&#10;AAgAh07iQIOCxBSlAQAALAMAAA4AAAAAAAAAAQAgAAAAOAEAAGRycy9lMm9Eb2MueG1sUEsFBgAA&#10;AAAGAAYAWQEAAE8FAAAAAA==&#10;">
                <v:fill on="t" focussize="0,0"/>
                <v:stroke on="f"/>
                <v:imagedata o:title=""/>
                <o:lock v:ext="edit" aspectratio="f"/>
                <v:textbox>
                  <w:txbxContent>
                    <w:p/>
                  </w:txbxContent>
                </v:textbox>
                <w10:wrap type="none"/>
                <w10:anchorlock/>
              </v:rect>
            </w:pict>
          </mc:Fallback>
        </mc:AlternateContent>
      </w:r>
    </w:p>
    <w:tbl>
      <w:tblPr>
        <w:tblStyle w:val="14"/>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案</w:t>
            </w:r>
            <w:r>
              <w:rPr>
                <w:rStyle w:val="18"/>
                <w:rFonts w:ascii="宋体" w:hAnsi="宋体" w:eastAsia="黑体" w:cs="宋体"/>
                <w:b/>
                <w:bCs/>
                <w:kern w:val="0"/>
                <w:sz w:val="24"/>
              </w:rPr>
              <w:t>  </w:t>
            </w:r>
            <w:r>
              <w:rPr>
                <w:rStyle w:val="18"/>
                <w:rFonts w:ascii="黑体" w:hAnsi="宋体" w:eastAsia="黑体" w:cs="宋体"/>
                <w:b/>
                <w:bCs/>
                <w:kern w:val="0"/>
                <w:sz w:val="24"/>
              </w:rPr>
              <w:t>由</w:t>
            </w:r>
            <w:r>
              <w:rPr>
                <w:rStyle w:val="18"/>
                <w:rFonts w:ascii="宋体" w:hAnsi="宋体" w:cs="宋体"/>
                <w:b/>
                <w:bCs/>
                <w:kern w:val="0"/>
                <w:sz w:val="24"/>
              </w:rPr>
              <w:t>：</w:t>
            </w:r>
          </w:p>
        </w:tc>
        <w:tc>
          <w:tcPr>
            <w:tcW w:w="6797" w:type="dxa"/>
            <w:gridSpan w:val="3"/>
            <w:vAlign w:val="center"/>
          </w:tcPr>
          <w:p>
            <w:pPr>
              <w:widowControl/>
              <w:snapToGrid/>
              <w:spacing w:before="0" w:beforeAutospacing="0" w:after="0" w:afterAutospacing="0" w:line="435" w:lineRule="atLeast"/>
              <w:jc w:val="left"/>
              <w:textAlignment w:val="baseline"/>
              <w:rPr>
                <w:rStyle w:val="18"/>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关于加大红色资源保护利用和宣传教育，助推黔东南旅游业高质量发展的建议</w:t>
            </w:r>
          </w:p>
        </w:tc>
      </w:tr>
      <w:tr>
        <w:tblPrEx>
          <w:tblCellMar>
            <w:top w:w="0" w:type="dxa"/>
            <w:left w:w="15" w:type="dxa"/>
            <w:bottom w:w="0" w:type="dxa"/>
            <w:right w:w="15" w:type="dxa"/>
          </w:tblCellMar>
        </w:tblPrEx>
        <w:tc>
          <w:tcPr>
            <w:tcW w:w="1753" w:type="dxa"/>
            <w:vAlign w:val="center"/>
          </w:tcPr>
          <w:p>
            <w:pPr>
              <w:jc w:val="left"/>
              <w:rPr>
                <w:rStyle w:val="18"/>
                <w:rFonts w:ascii="宋体" w:hAnsi="宋体"/>
                <w:kern w:val="0"/>
                <w:sz w:val="24"/>
              </w:rPr>
            </w:pPr>
            <w:r>
              <w:rPr>
                <w:rStyle w:val="18"/>
                <w:rFonts w:ascii="黑体" w:hAnsi="宋体" w:eastAsia="黑体" w:cs="宋体"/>
                <w:b/>
                <w:bCs/>
                <w:kern w:val="0"/>
                <w:sz w:val="24"/>
              </w:rPr>
              <w:t>审查意见</w:t>
            </w:r>
            <w:r>
              <w:rPr>
                <w:rStyle w:val="18"/>
                <w:rFonts w:ascii="宋体" w:hAnsi="宋体" w:cs="宋体"/>
                <w:b/>
                <w:bCs/>
                <w:kern w:val="0"/>
                <w:sz w:val="24"/>
              </w:rPr>
              <w:t>：</w:t>
            </w:r>
          </w:p>
        </w:tc>
        <w:tc>
          <w:tcPr>
            <w:tcW w:w="6797" w:type="dxa"/>
            <w:gridSpan w:val="3"/>
            <w:vAlign w:val="center"/>
          </w:tcPr>
          <w:p>
            <w:pPr>
              <w:jc w:val="left"/>
              <w:rPr>
                <w:rStyle w:val="18"/>
                <w:rFonts w:hint="default" w:ascii="宋体" w:hAnsi="宋体"/>
                <w:kern w:val="0"/>
                <w:sz w:val="24"/>
                <w:lang w:val="en-US" w:eastAsia="zh-CN"/>
              </w:rPr>
            </w:pPr>
            <w:r>
              <w:rPr>
                <w:rStyle w:val="18"/>
                <w:rFonts w:hint="eastAsia" w:ascii="宋体" w:hAnsi="宋体"/>
                <w:kern w:val="0"/>
                <w:sz w:val="24"/>
                <w:szCs w:val="24"/>
                <w:lang w:eastAsia="zh-CN"/>
              </w:rPr>
              <w:t>主办：州文广局</w:t>
            </w:r>
            <w:r>
              <w:rPr>
                <w:rStyle w:val="18"/>
                <w:rFonts w:hint="eastAsia" w:ascii="宋体" w:hAnsi="宋体"/>
                <w:kern w:val="0"/>
                <w:sz w:val="24"/>
                <w:szCs w:val="24"/>
                <w:lang w:val="en-US" w:eastAsia="zh-CN"/>
              </w:rPr>
              <w:t xml:space="preserve">   会办：州委党研室、凯里市委</w:t>
            </w:r>
          </w:p>
        </w:tc>
      </w:tr>
      <w:tr>
        <w:tblPrEx>
          <w:tblCellMar>
            <w:top w:w="0" w:type="dxa"/>
            <w:left w:w="15" w:type="dxa"/>
            <w:bottom w:w="0" w:type="dxa"/>
            <w:right w:w="15" w:type="dxa"/>
          </w:tblCellMar>
        </w:tblPrEx>
        <w:tc>
          <w:tcPr>
            <w:tcW w:w="1753" w:type="dxa"/>
            <w:vAlign w:val="center"/>
          </w:tcPr>
          <w:p>
            <w:pPr>
              <w:jc w:val="left"/>
              <w:rPr>
                <w:rStyle w:val="18"/>
                <w:rFonts w:ascii="黑体" w:hAnsi="宋体" w:eastAsia="黑体"/>
                <w:kern w:val="0"/>
                <w:sz w:val="24"/>
              </w:rPr>
            </w:pPr>
            <w:r>
              <w:rPr>
                <w:rStyle w:val="18"/>
                <w:rFonts w:ascii="黑体" w:hAnsi="宋体" w:eastAsia="黑体" w:cs="宋体"/>
                <w:b/>
                <w:bCs/>
                <w:kern w:val="0"/>
                <w:sz w:val="24"/>
              </w:rPr>
              <w:t>提</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案</w:t>
            </w:r>
            <w:r>
              <w:rPr>
                <w:rStyle w:val="18"/>
                <w:rFonts w:hint="eastAsia" w:ascii="黑体" w:hAnsi="宋体" w:eastAsia="黑体" w:cs="宋体"/>
                <w:b/>
                <w:bCs/>
                <w:kern w:val="0"/>
                <w:sz w:val="24"/>
                <w:lang w:val="en-US" w:eastAsia="zh-CN"/>
              </w:rPr>
              <w:t xml:space="preserve"> </w:t>
            </w:r>
            <w:r>
              <w:rPr>
                <w:rStyle w:val="18"/>
                <w:rFonts w:ascii="黑体" w:hAnsi="宋体" w:eastAsia="黑体" w:cs="宋体"/>
                <w:b/>
                <w:bCs/>
                <w:kern w:val="0"/>
                <w:sz w:val="24"/>
              </w:rPr>
              <w:t>人</w:t>
            </w:r>
            <w:r>
              <w:rPr>
                <w:rStyle w:val="18"/>
                <w:rFonts w:ascii="宋体" w:hAnsi="宋体" w:eastAsia="黑体" w:cs="宋体"/>
                <w:b/>
                <w:bCs/>
                <w:kern w:val="0"/>
                <w:sz w:val="24"/>
              </w:rPr>
              <w:t>：</w:t>
            </w:r>
          </w:p>
        </w:tc>
        <w:tc>
          <w:tcPr>
            <w:tcW w:w="3872" w:type="dxa"/>
            <w:vAlign w:val="center"/>
          </w:tcPr>
          <w:p>
            <w:pPr>
              <w:jc w:val="left"/>
              <w:rPr>
                <w:rStyle w:val="18"/>
                <w:rFonts w:ascii="宋体" w:hAnsi="宋体"/>
                <w:kern w:val="0"/>
                <w:sz w:val="24"/>
              </w:rPr>
            </w:pPr>
            <w:r>
              <w:rPr>
                <w:rStyle w:val="18"/>
                <w:rFonts w:ascii="宋体" w:hAnsi="宋体" w:cs="宋体"/>
                <w:b/>
                <w:bCs/>
                <w:kern w:val="0"/>
                <w:sz w:val="24"/>
              </w:rPr>
              <w:t>通讯地址</w:t>
            </w:r>
          </w:p>
        </w:tc>
        <w:tc>
          <w:tcPr>
            <w:tcW w:w="1440" w:type="dxa"/>
            <w:vAlign w:val="center"/>
          </w:tcPr>
          <w:p>
            <w:pPr>
              <w:jc w:val="left"/>
              <w:rPr>
                <w:rStyle w:val="18"/>
                <w:rFonts w:ascii="宋体" w:hAnsi="宋体"/>
                <w:kern w:val="0"/>
                <w:sz w:val="24"/>
              </w:rPr>
            </w:pPr>
            <w:r>
              <w:rPr>
                <w:rStyle w:val="18"/>
                <w:rFonts w:ascii="宋体" w:hAnsi="宋体" w:cs="宋体"/>
                <w:b/>
                <w:bCs/>
                <w:kern w:val="0"/>
                <w:sz w:val="24"/>
              </w:rPr>
              <w:t>邮政编码</w:t>
            </w:r>
          </w:p>
        </w:tc>
        <w:tc>
          <w:tcPr>
            <w:tcW w:w="1485" w:type="dxa"/>
            <w:vAlign w:val="center"/>
          </w:tcPr>
          <w:p>
            <w:pPr>
              <w:jc w:val="left"/>
              <w:rPr>
                <w:rStyle w:val="18"/>
                <w:rFonts w:ascii="宋体" w:hAnsi="宋体"/>
                <w:kern w:val="0"/>
                <w:sz w:val="24"/>
              </w:rPr>
            </w:pPr>
            <w:r>
              <w:rPr>
                <w:rStyle w:val="18"/>
                <w:rFonts w:ascii="宋体" w:hAnsi="宋体" w:cs="宋体"/>
                <w:b/>
                <w:bCs/>
                <w:kern w:val="0"/>
                <w:sz w:val="24"/>
              </w:rPr>
              <w:t>联系电话</w:t>
            </w:r>
          </w:p>
        </w:tc>
      </w:tr>
      <w:tr>
        <w:tc>
          <w:tcPr>
            <w:tcW w:w="1753" w:type="dxa"/>
            <w:vAlign w:val="center"/>
          </w:tcPr>
          <w:p>
            <w:pPr>
              <w:jc w:val="left"/>
              <w:rPr>
                <w:rFonts w:hint="eastAsia" w:ascii="Times New Roman" w:hAnsi="Times New Roman" w:eastAsia="宋体"/>
                <w:lang w:eastAsia="zh-CN"/>
              </w:rPr>
            </w:pPr>
            <w:r>
              <w:rPr>
                <w:rFonts w:hint="eastAsia" w:ascii="Times New Roman" w:hAnsi="Times New Roman" w:eastAsia="宋体"/>
                <w:lang w:eastAsia="zh-CN"/>
              </w:rPr>
              <w:t>文泽忠</w:t>
            </w:r>
          </w:p>
          <w:p>
            <w:pPr>
              <w:jc w:val="left"/>
              <w:rPr>
                <w:rFonts w:hint="eastAsia" w:ascii="Times New Roman" w:hAnsi="Times New Roman" w:eastAsia="宋体"/>
                <w:lang w:val="en-US" w:eastAsia="zh-CN"/>
              </w:rPr>
            </w:pPr>
            <w:r>
              <w:rPr>
                <w:rFonts w:hint="eastAsia" w:ascii="Times New Roman" w:hAnsi="Times New Roman" w:eastAsia="宋体"/>
                <w:lang w:val="en-US" w:eastAsia="zh-CN"/>
              </w:rPr>
              <w:t>陈  瑶</w:t>
            </w:r>
          </w:p>
          <w:p>
            <w:pPr>
              <w:jc w:val="left"/>
              <w:rPr>
                <w:rFonts w:hint="eastAsia" w:ascii="Times New Roman" w:hAnsi="Times New Roman" w:eastAsia="宋体"/>
                <w:lang w:eastAsia="zh-CN"/>
              </w:rPr>
            </w:pPr>
            <w:r>
              <w:rPr>
                <w:rFonts w:hint="eastAsia" w:ascii="Times New Roman" w:hAnsi="Times New Roman" w:eastAsia="宋体"/>
                <w:lang w:eastAsia="zh-CN"/>
              </w:rPr>
              <w:t>文仁刚</w:t>
            </w:r>
          </w:p>
          <w:p>
            <w:pPr>
              <w:jc w:val="left"/>
              <w:rPr>
                <w:rFonts w:hint="eastAsia"/>
                <w:lang w:eastAsia="zh-CN"/>
              </w:rPr>
            </w:pPr>
            <w:r>
              <w:rPr>
                <w:rFonts w:hint="eastAsia" w:ascii="Times New Roman" w:hAnsi="Times New Roman" w:eastAsia="宋体"/>
                <w:lang w:eastAsia="zh-CN"/>
              </w:rPr>
              <w:t>何顺飞</w:t>
            </w:r>
          </w:p>
        </w:tc>
        <w:tc>
          <w:tcPr>
            <w:tcW w:w="3872" w:type="dxa"/>
            <w:vAlign w:val="center"/>
          </w:tcPr>
          <w:p>
            <w:pPr>
              <w:jc w:val="left"/>
              <w:rPr>
                <w:rFonts w:hint="eastAsia"/>
                <w:lang w:val="en-US" w:eastAsia="zh-CN"/>
              </w:rPr>
            </w:pPr>
            <w:r>
              <w:rPr>
                <w:rFonts w:hint="eastAsia"/>
                <w:lang w:val="en-US" w:eastAsia="zh-CN"/>
              </w:rPr>
              <w:t>凯里市委党史研究室</w:t>
            </w:r>
          </w:p>
          <w:p>
            <w:pPr>
              <w:jc w:val="left"/>
              <w:rPr>
                <w:rFonts w:hint="eastAsia" w:ascii="Times New Roman" w:hAnsi="Times New Roman" w:eastAsia="宋体"/>
                <w:lang w:val="en-US" w:eastAsia="zh-CN"/>
              </w:rPr>
            </w:pPr>
            <w:r>
              <w:rPr>
                <w:rFonts w:hint="eastAsia" w:ascii="Times New Roman" w:hAnsi="Times New Roman" w:eastAsia="宋体"/>
                <w:lang w:val="en-US" w:eastAsia="zh-CN"/>
              </w:rPr>
              <w:t>凯里市委组织部</w:t>
            </w:r>
          </w:p>
          <w:p>
            <w:pPr>
              <w:jc w:val="left"/>
              <w:rPr>
                <w:rFonts w:hint="eastAsia" w:ascii="Times New Roman" w:hAnsi="Times New Roman" w:eastAsia="宋体"/>
                <w:lang w:val="en-US" w:eastAsia="zh-CN"/>
              </w:rPr>
            </w:pPr>
            <w:r>
              <w:rPr>
                <w:rFonts w:hint="eastAsia" w:ascii="Times New Roman" w:hAnsi="Times New Roman" w:eastAsia="宋体"/>
                <w:lang w:val="en-US" w:eastAsia="zh-CN"/>
              </w:rPr>
              <w:t>凯里市委宣传部</w:t>
            </w:r>
          </w:p>
          <w:p>
            <w:pPr>
              <w:jc w:val="left"/>
              <w:rPr>
                <w:rFonts w:hint="default"/>
                <w:lang w:val="en-US" w:eastAsia="zh-CN"/>
              </w:rPr>
            </w:pPr>
            <w:r>
              <w:rPr>
                <w:rFonts w:hint="default" w:ascii="Times New Roman" w:hAnsi="Times New Roman" w:eastAsia="宋体"/>
                <w:lang w:val="en-US" w:eastAsia="zh-CN"/>
              </w:rPr>
              <w:t>凯里市湾水镇人民政府</w:t>
            </w:r>
          </w:p>
        </w:tc>
        <w:tc>
          <w:tcPr>
            <w:tcW w:w="1440" w:type="dxa"/>
            <w:vAlign w:val="center"/>
          </w:tcPr>
          <w:p>
            <w:pPr>
              <w:jc w:val="left"/>
              <w:rPr>
                <w:rStyle w:val="18"/>
                <w:rFonts w:hint="default" w:ascii="宋体" w:hAnsi="宋体" w:eastAsia="宋体"/>
                <w:kern w:val="0"/>
                <w:sz w:val="24"/>
                <w:lang w:val="en-US" w:eastAsia="zh-CN"/>
              </w:rPr>
            </w:pPr>
            <w:r>
              <w:rPr>
                <w:rStyle w:val="18"/>
                <w:rFonts w:hint="eastAsia" w:ascii="宋体" w:hAnsi="宋体"/>
                <w:kern w:val="0"/>
                <w:sz w:val="24"/>
              </w:rPr>
              <w:t>55</w:t>
            </w:r>
            <w:r>
              <w:rPr>
                <w:rStyle w:val="18"/>
                <w:rFonts w:hint="eastAsia" w:ascii="宋体" w:hAnsi="宋体"/>
                <w:kern w:val="0"/>
                <w:sz w:val="24"/>
                <w:lang w:val="en-US"/>
              </w:rPr>
              <w:t>60</w:t>
            </w:r>
            <w:r>
              <w:rPr>
                <w:rStyle w:val="18"/>
                <w:rFonts w:hint="eastAsia" w:ascii="宋体" w:hAnsi="宋体"/>
                <w:kern w:val="0"/>
                <w:sz w:val="24"/>
                <w:lang w:val="en-US" w:eastAsia="zh-CN"/>
              </w:rPr>
              <w:t>00</w:t>
            </w:r>
          </w:p>
        </w:tc>
        <w:tc>
          <w:tcPr>
            <w:tcW w:w="1485" w:type="dxa"/>
            <w:vAlign w:val="center"/>
          </w:tcPr>
          <w:p>
            <w:pPr>
              <w:jc w:val="left"/>
              <w:rPr>
                <w:rFonts w:hint="default" w:ascii="Times New Roman" w:hAnsi="Times New Roman" w:eastAsia="宋体"/>
                <w:sz w:val="18"/>
                <w:szCs w:val="21"/>
                <w:lang w:val="en-US" w:eastAsia="zh-CN"/>
              </w:rPr>
            </w:pPr>
            <w:r>
              <w:rPr>
                <w:rFonts w:hint="default" w:ascii="Times New Roman" w:hAnsi="Times New Roman" w:eastAsia="宋体"/>
                <w:sz w:val="18"/>
                <w:szCs w:val="21"/>
                <w:lang w:val="en-US" w:eastAsia="zh-CN"/>
              </w:rPr>
              <w:t>18985815822</w:t>
            </w:r>
          </w:p>
          <w:p>
            <w:pPr>
              <w:jc w:val="left"/>
              <w:rPr>
                <w:rFonts w:hint="default" w:ascii="Times New Roman" w:hAnsi="Times New Roman" w:eastAsia="宋体"/>
                <w:sz w:val="18"/>
                <w:szCs w:val="21"/>
                <w:lang w:val="en-US" w:eastAsia="zh-CN"/>
              </w:rPr>
            </w:pPr>
            <w:r>
              <w:rPr>
                <w:rFonts w:hint="default" w:ascii="Times New Roman" w:hAnsi="Times New Roman" w:eastAsia="宋体"/>
                <w:sz w:val="18"/>
                <w:szCs w:val="21"/>
                <w:lang w:val="en-US" w:eastAsia="zh-CN"/>
              </w:rPr>
              <w:t>13595599788</w:t>
            </w:r>
          </w:p>
          <w:p>
            <w:pPr>
              <w:jc w:val="left"/>
              <w:rPr>
                <w:rFonts w:hint="default" w:ascii="Times New Roman" w:hAnsi="Times New Roman" w:eastAsia="宋体"/>
                <w:sz w:val="18"/>
                <w:szCs w:val="21"/>
                <w:lang w:val="en-US" w:eastAsia="zh-CN"/>
              </w:rPr>
            </w:pPr>
            <w:r>
              <w:rPr>
                <w:rFonts w:hint="default" w:ascii="Times New Roman" w:hAnsi="Times New Roman" w:eastAsia="宋体"/>
                <w:sz w:val="18"/>
                <w:szCs w:val="21"/>
                <w:lang w:val="en-US" w:eastAsia="zh-CN"/>
              </w:rPr>
              <w:t>13708552065</w:t>
            </w:r>
          </w:p>
          <w:p>
            <w:pPr>
              <w:jc w:val="left"/>
              <w:rPr>
                <w:rFonts w:hint="default"/>
                <w:lang w:val="en-US" w:eastAsia="zh-CN"/>
              </w:rPr>
            </w:pPr>
            <w:r>
              <w:rPr>
                <w:rFonts w:hint="default" w:ascii="Times New Roman" w:hAnsi="Times New Roman" w:eastAsia="宋体"/>
                <w:sz w:val="18"/>
                <w:szCs w:val="21"/>
                <w:lang w:val="en-US" w:eastAsia="zh-CN"/>
              </w:rPr>
              <w:t>18212339951</w:t>
            </w:r>
          </w:p>
        </w:tc>
      </w:tr>
      <w:tr>
        <w:tblPrEx>
          <w:tblCellMar>
            <w:top w:w="0" w:type="dxa"/>
            <w:left w:w="15" w:type="dxa"/>
            <w:bottom w:w="0" w:type="dxa"/>
            <w:right w:w="15" w:type="dxa"/>
          </w:tblCellMar>
        </w:tblPrEx>
        <w:tc>
          <w:tcPr>
            <w:tcW w:w="1753" w:type="dxa"/>
            <w:vAlign w:val="center"/>
          </w:tcPr>
          <w:p>
            <w:pPr>
              <w:jc w:val="left"/>
              <w:rPr>
                <w:rStyle w:val="18"/>
                <w:rFonts w:hint="eastAsia" w:ascii="宋体" w:hAnsi="宋体" w:eastAsia="宋体"/>
                <w:kern w:val="0"/>
                <w:sz w:val="24"/>
                <w:lang w:eastAsia="zh-CN"/>
              </w:rPr>
            </w:pPr>
            <w:r>
              <w:rPr>
                <w:rStyle w:val="18"/>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8"/>
                <w:rFonts w:hint="eastAsia" w:ascii="宋体" w:hAnsi="宋体"/>
                <w:kern w:val="0"/>
                <w:sz w:val="24"/>
                <w:lang w:val="en-US" w:eastAsia="zh-CN"/>
              </w:rPr>
            </w:pPr>
            <w:r>
              <w:rPr>
                <w:rStyle w:val="18"/>
                <w:rFonts w:hint="eastAsia" w:ascii="宋体" w:hAnsi="宋体"/>
                <w:kern w:val="0"/>
                <w:sz w:val="24"/>
                <w:lang w:eastAsia="zh-CN"/>
              </w:rPr>
              <w:t>州委办秘书五科：</w:t>
            </w:r>
            <w:r>
              <w:rPr>
                <w:rStyle w:val="18"/>
                <w:rFonts w:hint="eastAsia" w:ascii="宋体" w:hAnsi="宋体"/>
                <w:kern w:val="0"/>
                <w:sz w:val="24"/>
                <w:lang w:val="en-US" w:eastAsia="zh-CN"/>
              </w:rPr>
              <w:t>8270060；</w:t>
            </w:r>
            <w:r>
              <w:rPr>
                <w:rStyle w:val="18"/>
                <w:rFonts w:hint="eastAsia" w:ascii="宋体" w:hAnsi="宋体"/>
                <w:kern w:val="0"/>
                <w:sz w:val="24"/>
                <w:lang w:eastAsia="zh-CN"/>
              </w:rPr>
              <w:t>州政府办建议提案科：</w:t>
            </w:r>
            <w:r>
              <w:rPr>
                <w:rStyle w:val="18"/>
                <w:rFonts w:hint="eastAsia" w:ascii="宋体" w:hAnsi="宋体"/>
                <w:kern w:val="0"/>
                <w:sz w:val="24"/>
                <w:lang w:val="en-US" w:eastAsia="zh-CN"/>
              </w:rPr>
              <w:t>8260016；</w:t>
            </w:r>
          </w:p>
          <w:p>
            <w:pPr>
              <w:jc w:val="left"/>
              <w:rPr>
                <w:rStyle w:val="18"/>
                <w:rFonts w:hint="default" w:ascii="宋体" w:hAnsi="宋体"/>
                <w:kern w:val="0"/>
                <w:sz w:val="24"/>
                <w:lang w:val="en-US"/>
              </w:rPr>
            </w:pPr>
            <w:r>
              <w:rPr>
                <w:rStyle w:val="18"/>
                <w:rFonts w:hint="eastAsia" w:ascii="宋体" w:hAnsi="宋体"/>
                <w:kern w:val="0"/>
                <w:sz w:val="24"/>
                <w:lang w:eastAsia="zh-CN"/>
              </w:rPr>
              <w:t>州政协提案委：</w:t>
            </w:r>
            <w:r>
              <w:rPr>
                <w:rStyle w:val="18"/>
                <w:rFonts w:hint="eastAsia" w:ascii="宋体" w:hAnsi="宋体"/>
                <w:kern w:val="0"/>
                <w:sz w:val="24"/>
                <w:lang w:val="en-US" w:eastAsia="zh-CN"/>
              </w:rPr>
              <w:t>8428866</w:t>
            </w:r>
            <w:r>
              <w:rPr>
                <w:rStyle w:val="18"/>
                <w:rFonts w:hint="eastAsia" w:ascii="宋体" w:hAnsi="宋体"/>
                <w:kern w:val="0"/>
                <w:sz w:val="24"/>
                <w:lang w:eastAsia="zh-CN"/>
              </w:rPr>
              <w:t>。</w:t>
            </w:r>
          </w:p>
        </w:tc>
      </w:tr>
    </w:tbl>
    <w:p>
      <w:pPr>
        <w:jc w:val="left"/>
        <w:rPr>
          <w:rStyle w:val="18"/>
          <w:rFonts w:ascii="宋体" w:hAnsi="宋体"/>
          <w:kern w:val="0"/>
          <w:sz w:val="24"/>
        </w:rPr>
      </w:pPr>
      <w:r>
        <w:rPr>
          <w:rStyle w:val="18"/>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true"/>
                    </wps:wsp>
                  </a:graphicData>
                </a:graphic>
              </wp:inline>
            </w:drawing>
          </mc:Choice>
          <mc:Fallback>
            <w:pict>
              <v:rect id="_x0000_s1026" o:spid="_x0000_s1026" o:spt="1" style="height:2.8pt;width:410.4pt;" fillcolor="#ACA899" filled="t" stroked="f" coordsize="21600,21600" o:gfxdata="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t3HHw0wAAAAMBAAAPAAAAAAAAAAEAIAAAADgAAABkcnMvZG93bnJldi54bWxQSwECFAAUAAAA&#10;CACHTuJApQr876QBAAAsAwAADgAAAAAAAAABACAAAAA4AQAAZHJzL2Uyb0RvYy54bWxQSwUGAAAA&#10;AAYABgBZAQAATgU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line="560" w:lineRule="exact"/>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内容和办法</w:t>
      </w:r>
      <w:r>
        <w:rPr>
          <w:rStyle w:val="18"/>
          <w:rFonts w:hint="eastAsia" w:ascii="仿宋_GB2312" w:hAnsi="宋体" w:eastAsia="仿宋_GB2312"/>
          <w:kern w:val="0"/>
          <w:sz w:val="32"/>
          <w:szCs w:val="32"/>
          <w:lang w:eastAsia="zh-CN"/>
        </w:rPr>
        <w:t>：</w:t>
      </w:r>
    </w:p>
    <w:p>
      <w:pPr>
        <w:snapToGrid/>
        <w:spacing w:before="0" w:beforeAutospacing="0" w:after="0" w:afterAutospacing="0" w:line="560" w:lineRule="exact"/>
        <w:ind w:firstLine="640"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rPr>
        <w:t>黔东南州红色资源十分丰富，既有红军经过的历史，</w:t>
      </w:r>
      <w:r>
        <w:rPr>
          <w:rStyle w:val="18"/>
          <w:rFonts w:hint="eastAsia" w:ascii="仿宋_GB2312" w:hAnsi="宋体" w:eastAsia="仿宋_GB2312"/>
          <w:kern w:val="0"/>
          <w:sz w:val="32"/>
          <w:szCs w:val="32"/>
          <w:lang w:val="en-US" w:eastAsia="zh-CN"/>
        </w:rPr>
        <w:t>也</w:t>
      </w:r>
      <w:r>
        <w:rPr>
          <w:rStyle w:val="18"/>
          <w:rFonts w:hint="eastAsia" w:ascii="仿宋_GB2312" w:hAnsi="宋体" w:eastAsia="仿宋_GB2312"/>
          <w:kern w:val="0"/>
          <w:sz w:val="32"/>
          <w:szCs w:val="32"/>
          <w:lang w:val="en-US"/>
        </w:rPr>
        <w:t>有凯里党小组革命遗址、剿匪战斗遗址、革命烈士墓、三线建设历史文化，是领导全州革命活动的党组织——凯里党小组的大本营。</w:t>
      </w:r>
      <w:r>
        <w:rPr>
          <w:rStyle w:val="18"/>
          <w:rFonts w:hint="eastAsia" w:ascii="仿宋_GB2312" w:hAnsi="宋体" w:eastAsia="仿宋_GB2312"/>
          <w:kern w:val="0"/>
          <w:sz w:val="32"/>
          <w:szCs w:val="32"/>
          <w:lang w:val="en-US" w:eastAsia="zh-CN"/>
        </w:rPr>
        <w:t>近年来，黔东南州委、州政府深入贯彻落实习近平总书记关于传承红色基因的重要指示要求，高度重视红色文化资源的保护和开发工作，始终把保护利用革命遗址、传承弘扬红色文化作为重大政治责任，充分发挥红色资源优势，大力实施红色文化保护、传承和弘扬工程，充分借助长征国家文化公园建设的历史机遇，努力把黔东南建设成红色革命教育基地、红色文化传播高地、红色旅游目的地。</w:t>
      </w:r>
    </w:p>
    <w:p>
      <w:pPr>
        <w:snapToGrid/>
        <w:spacing w:before="0" w:beforeAutospacing="0" w:after="0" w:afterAutospacing="0" w:line="560" w:lineRule="exact"/>
        <w:ind w:firstLine="640"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但黔东南州红色革命文化助推旅游还存在一些不足：</w:t>
      </w:r>
    </w:p>
    <w:p>
      <w:pPr>
        <w:snapToGrid/>
        <w:spacing w:before="0" w:beforeAutospacing="0" w:after="0" w:afterAutospacing="0" w:line="560" w:lineRule="exact"/>
        <w:ind w:firstLine="642"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b/>
          <w:bCs/>
          <w:kern w:val="0"/>
          <w:sz w:val="32"/>
          <w:szCs w:val="32"/>
          <w:lang w:val="en-US" w:eastAsia="zh-CN"/>
        </w:rPr>
        <w:t>一是</w:t>
      </w:r>
      <w:r>
        <w:rPr>
          <w:rStyle w:val="18"/>
          <w:rFonts w:hint="eastAsia" w:ascii="仿宋_GB2312" w:hAnsi="宋体" w:eastAsia="仿宋_GB2312"/>
          <w:b/>
          <w:bCs/>
          <w:kern w:val="0"/>
          <w:sz w:val="32"/>
          <w:szCs w:val="32"/>
          <w:lang w:val="en-US"/>
        </w:rPr>
        <w:t>革命遗址遗迹开发滞后</w:t>
      </w:r>
      <w:r>
        <w:rPr>
          <w:rStyle w:val="18"/>
          <w:rFonts w:hint="eastAsia" w:ascii="仿宋_GB2312" w:hAnsi="宋体" w:eastAsia="仿宋_GB2312"/>
          <w:b/>
          <w:bCs/>
          <w:kern w:val="0"/>
          <w:sz w:val="32"/>
          <w:szCs w:val="32"/>
          <w:lang w:val="en-US" w:eastAsia="zh-CN"/>
        </w:rPr>
        <w:t>。</w:t>
      </w:r>
      <w:r>
        <w:rPr>
          <w:rStyle w:val="18"/>
          <w:rFonts w:hint="eastAsia" w:ascii="仿宋_GB2312" w:hAnsi="宋体" w:eastAsia="仿宋_GB2312"/>
          <w:kern w:val="0"/>
          <w:sz w:val="32"/>
          <w:szCs w:val="32"/>
          <w:lang w:val="en-US" w:eastAsia="zh-CN"/>
        </w:rPr>
        <w:t>黔东南红色资源数量丰富，分布广泛，但许多重点红色革命遗址、旧址规模较小且分散在经济落后的山区，各点之间距离远、沿线道路等级低、路况较差。有些遗址、旧址虽然成立了专门管理机构，进行了一定维护修缮，但配套设施建设不齐全，条件相对简陋，部分场所被占用旧址生活、办公，人为损坏严重，增加了保护难度。这些问题，凯里市、黎平县等县市都不同程度的存在。</w:t>
      </w:r>
    </w:p>
    <w:p>
      <w:pPr>
        <w:snapToGrid/>
        <w:spacing w:before="0" w:beforeAutospacing="0" w:after="0" w:afterAutospacing="0" w:line="560" w:lineRule="exact"/>
        <w:ind w:firstLine="642"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b/>
          <w:bCs/>
          <w:kern w:val="0"/>
          <w:sz w:val="32"/>
          <w:szCs w:val="32"/>
          <w:lang w:val="en-US" w:eastAsia="zh-CN"/>
        </w:rPr>
        <w:t>二是专业人才紧缺。</w:t>
      </w:r>
      <w:r>
        <w:rPr>
          <w:rStyle w:val="18"/>
          <w:rFonts w:hint="eastAsia" w:ascii="仿宋_GB2312" w:hAnsi="宋体" w:eastAsia="仿宋_GB2312"/>
          <w:kern w:val="0"/>
          <w:sz w:val="32"/>
          <w:szCs w:val="32"/>
          <w:lang w:val="en-US" w:eastAsia="zh-CN"/>
        </w:rPr>
        <w:t>如：凯里万寿宫、李家祠堂等稍具规模的革命遗址旧址虽然配备了管理人员，但管理人员多数为公益性岗位或协管员，薪资待遇低，流动性大，没有工作激情，未经过专业培训，专业水平较低，文保意识不强，更无法解说。</w:t>
      </w:r>
    </w:p>
    <w:p>
      <w:pPr>
        <w:snapToGrid/>
        <w:spacing w:before="0" w:beforeAutospacing="0" w:after="0" w:afterAutospacing="0" w:line="560" w:lineRule="exact"/>
        <w:ind w:firstLine="642"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b/>
          <w:bCs/>
          <w:kern w:val="0"/>
          <w:sz w:val="32"/>
          <w:szCs w:val="32"/>
          <w:lang w:val="en-US" w:eastAsia="zh-CN"/>
        </w:rPr>
        <w:t>三是纪念场馆</w:t>
      </w:r>
      <w:r>
        <w:rPr>
          <w:rStyle w:val="18"/>
          <w:rFonts w:hint="eastAsia" w:ascii="仿宋_GB2312" w:hAnsi="宋体" w:eastAsia="仿宋_GB2312"/>
          <w:b/>
          <w:bCs/>
          <w:kern w:val="0"/>
          <w:sz w:val="32"/>
          <w:szCs w:val="32"/>
          <w:lang w:val="en-US"/>
        </w:rPr>
        <w:t>整体水平较</w:t>
      </w:r>
      <w:r>
        <w:rPr>
          <w:rStyle w:val="18"/>
          <w:rFonts w:hint="eastAsia" w:ascii="仿宋_GB2312" w:hAnsi="宋体" w:eastAsia="仿宋_GB2312"/>
          <w:b/>
          <w:bCs/>
          <w:kern w:val="0"/>
          <w:sz w:val="32"/>
          <w:szCs w:val="32"/>
          <w:lang w:val="en-US" w:eastAsia="zh-CN"/>
        </w:rPr>
        <w:t>低</w:t>
      </w:r>
      <w:r>
        <w:rPr>
          <w:rStyle w:val="18"/>
          <w:rFonts w:hint="eastAsia" w:ascii="仿宋_GB2312" w:hAnsi="宋体" w:eastAsia="仿宋_GB2312"/>
          <w:b/>
          <w:bCs/>
          <w:kern w:val="0"/>
          <w:sz w:val="32"/>
          <w:szCs w:val="32"/>
          <w:lang w:val="en-US"/>
        </w:rPr>
        <w:t>且不联通</w:t>
      </w:r>
      <w:r>
        <w:rPr>
          <w:rStyle w:val="18"/>
          <w:rFonts w:hint="eastAsia" w:ascii="仿宋_GB2312" w:hAnsi="宋体" w:eastAsia="仿宋_GB2312"/>
          <w:b/>
          <w:bCs/>
          <w:kern w:val="0"/>
          <w:sz w:val="32"/>
          <w:szCs w:val="32"/>
          <w:lang w:val="en-US" w:eastAsia="zh-CN"/>
        </w:rPr>
        <w:t>。</w:t>
      </w:r>
      <w:r>
        <w:rPr>
          <w:rStyle w:val="18"/>
          <w:rFonts w:hint="eastAsia" w:ascii="仿宋_GB2312" w:hAnsi="宋体" w:eastAsia="仿宋_GB2312"/>
          <w:kern w:val="0"/>
          <w:sz w:val="32"/>
          <w:szCs w:val="32"/>
          <w:lang w:val="en-US" w:eastAsia="zh-CN"/>
        </w:rPr>
        <w:t>纪念场馆布展简陋，没有充分利用声光电等现代化技术手段陈列策划；藏品收集、留存史料实物原件很少，大多数是复制品或代用品，历史厚重感不强；展示形态均为重复利用的静态展示。所有纪念布展都是“几幅图片、几张桌子、几把椅子、几盏油灯、几尊雕塑”。许多参观者花费大量时间前往参观，但几分钟看完，体验度不够，印象浅薄，社会教育效果不明显，有些甚至出现无人讲解、客走门锁的情况。</w:t>
      </w:r>
      <w:r>
        <w:rPr>
          <w:rStyle w:val="18"/>
          <w:rFonts w:hint="eastAsia" w:ascii="仿宋_GB2312" w:hAnsi="宋体" w:eastAsia="仿宋_GB2312"/>
          <w:kern w:val="0"/>
          <w:sz w:val="32"/>
          <w:szCs w:val="32"/>
          <w:lang w:val="en-US"/>
        </w:rPr>
        <w:t>纪念场馆之间相互独立，</w:t>
      </w:r>
      <w:r>
        <w:rPr>
          <w:rStyle w:val="18"/>
          <w:rFonts w:hint="eastAsia" w:ascii="仿宋_GB2312" w:hAnsi="宋体" w:eastAsia="仿宋_GB2312"/>
          <w:kern w:val="0"/>
          <w:sz w:val="32"/>
          <w:szCs w:val="32"/>
          <w:lang w:val="en-US" w:eastAsia="zh-CN"/>
        </w:rPr>
        <w:t>缺乏</w:t>
      </w:r>
      <w:r>
        <w:rPr>
          <w:rStyle w:val="18"/>
          <w:rFonts w:hint="eastAsia" w:ascii="仿宋_GB2312" w:hAnsi="宋体" w:eastAsia="仿宋_GB2312"/>
          <w:kern w:val="0"/>
          <w:sz w:val="32"/>
          <w:szCs w:val="32"/>
          <w:lang w:val="en-US"/>
        </w:rPr>
        <w:t>沟通和互动。</w:t>
      </w:r>
    </w:p>
    <w:p>
      <w:pPr>
        <w:snapToGrid/>
        <w:spacing w:before="0" w:beforeAutospacing="0" w:after="0" w:afterAutospacing="0" w:line="560" w:lineRule="exact"/>
        <w:ind w:firstLine="640"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lang w:val="en-US" w:eastAsia="zh-CN"/>
        </w:rPr>
        <w:t>建议：</w:t>
      </w:r>
    </w:p>
    <w:p>
      <w:pPr>
        <w:snapToGrid/>
        <w:spacing w:before="0" w:beforeAutospacing="0" w:after="0" w:afterAutospacing="0" w:line="560" w:lineRule="exact"/>
        <w:ind w:firstLine="642"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b/>
          <w:bCs/>
          <w:kern w:val="0"/>
          <w:sz w:val="32"/>
          <w:szCs w:val="32"/>
          <w:lang w:val="en-US" w:eastAsia="zh-CN"/>
        </w:rPr>
        <w:t>一、不断挖掘、保护红色旅游资源。</w:t>
      </w:r>
      <w:r>
        <w:rPr>
          <w:rStyle w:val="18"/>
          <w:rFonts w:hint="eastAsia" w:ascii="仿宋_GB2312" w:hAnsi="宋体" w:eastAsia="仿宋_GB2312"/>
          <w:kern w:val="0"/>
          <w:sz w:val="32"/>
          <w:szCs w:val="32"/>
          <w:lang w:val="en-US" w:eastAsia="zh-CN"/>
        </w:rPr>
        <w:t>以红军长征国家文化公园建设为契机，重点突出红军长征文化和凯里党小组革命历史文化建设，集中资源重点打造红色景区、红色小镇、红色遗址公园，如“红色老街”“三线建设遗址公园”等，做大做强黔东南州的红色旅游品牌。</w:t>
      </w:r>
    </w:p>
    <w:p>
      <w:pPr>
        <w:snapToGrid/>
        <w:spacing w:before="0" w:beforeAutospacing="0" w:after="0" w:afterAutospacing="0" w:line="560" w:lineRule="exact"/>
        <w:ind w:firstLine="642" w:firstLineChars="200"/>
        <w:jc w:val="both"/>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b/>
          <w:bCs/>
          <w:kern w:val="0"/>
          <w:sz w:val="32"/>
          <w:szCs w:val="32"/>
          <w:lang w:val="en-US" w:eastAsia="zh-CN"/>
        </w:rPr>
        <w:t>二、拓展红色旅游融合功能，建设红色旅游品牌。</w:t>
      </w:r>
      <w:r>
        <w:rPr>
          <w:rStyle w:val="18"/>
          <w:rFonts w:hint="eastAsia" w:ascii="仿宋_GB2312" w:hAnsi="宋体" w:eastAsia="仿宋_GB2312"/>
          <w:kern w:val="0"/>
          <w:sz w:val="32"/>
          <w:szCs w:val="32"/>
          <w:lang w:val="en-US" w:eastAsia="zh-CN"/>
        </w:rPr>
        <w:t>支持革命老区群众因地制宜发展种养业和特色手工业，依托红色景点，带动现代农业、茶产业、林果产业等，实现“红色+产业”的综合发展。试点打造红色美丽村庄建设，发展红色村庄旅游。如，开展红色篝火晚会，山歌对唱，烤红薯、烤玉米、忆苦思甜等体验项目，要用红色民宿体验等特点留住游客，增加农民收入。</w:t>
      </w:r>
    </w:p>
    <w:p>
      <w:pPr>
        <w:snapToGrid/>
        <w:spacing w:before="0" w:beforeAutospacing="0" w:after="0" w:afterAutospacing="0" w:line="560" w:lineRule="exact"/>
        <w:ind w:firstLine="642" w:firstLineChars="200"/>
        <w:jc w:val="both"/>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lang w:eastAsia="zh-CN"/>
        </w:rPr>
        <w:t>三</w:t>
      </w:r>
      <w:r>
        <w:rPr>
          <w:rStyle w:val="18"/>
          <w:rFonts w:hint="eastAsia" w:ascii="仿宋_GB2312" w:hAnsi="宋体" w:eastAsia="仿宋_GB2312"/>
          <w:b/>
          <w:bCs/>
          <w:kern w:val="0"/>
          <w:sz w:val="32"/>
          <w:szCs w:val="32"/>
        </w:rPr>
        <w:t>、</w:t>
      </w:r>
      <w:r>
        <w:rPr>
          <w:rStyle w:val="18"/>
          <w:rFonts w:hint="eastAsia" w:ascii="仿宋_GB2312" w:hAnsi="宋体" w:eastAsia="仿宋_GB2312"/>
          <w:b/>
          <w:bCs/>
          <w:kern w:val="0"/>
          <w:sz w:val="32"/>
          <w:szCs w:val="32"/>
          <w:lang w:eastAsia="zh-CN"/>
        </w:rPr>
        <w:t>规范红色</w:t>
      </w:r>
      <w:r>
        <w:rPr>
          <w:rStyle w:val="18"/>
          <w:rFonts w:hint="eastAsia" w:ascii="仿宋_GB2312" w:hAnsi="宋体" w:eastAsia="仿宋_GB2312"/>
          <w:b/>
          <w:bCs/>
          <w:kern w:val="0"/>
          <w:sz w:val="32"/>
          <w:szCs w:val="32"/>
          <w:lang w:val="en-US"/>
        </w:rPr>
        <w:t>纪念场馆</w:t>
      </w:r>
      <w:r>
        <w:rPr>
          <w:rStyle w:val="18"/>
          <w:rFonts w:hint="eastAsia" w:ascii="仿宋_GB2312" w:hAnsi="宋体" w:eastAsia="仿宋_GB2312"/>
          <w:b/>
          <w:bCs/>
          <w:kern w:val="0"/>
          <w:sz w:val="32"/>
          <w:szCs w:val="32"/>
          <w:lang w:val="en-US" w:eastAsia="zh-CN"/>
        </w:rPr>
        <w:t>建设，</w:t>
      </w:r>
      <w:r>
        <w:rPr>
          <w:rStyle w:val="18"/>
          <w:rFonts w:hint="eastAsia" w:ascii="仿宋_GB2312" w:hAnsi="宋体" w:eastAsia="仿宋_GB2312"/>
          <w:b/>
          <w:bCs/>
          <w:kern w:val="0"/>
          <w:sz w:val="32"/>
          <w:szCs w:val="32"/>
          <w:lang w:val="en-US"/>
        </w:rPr>
        <w:t>提</w:t>
      </w:r>
      <w:r>
        <w:rPr>
          <w:rStyle w:val="18"/>
          <w:rFonts w:hint="eastAsia" w:ascii="仿宋_GB2312" w:hAnsi="宋体" w:eastAsia="仿宋_GB2312"/>
          <w:b/>
          <w:bCs/>
          <w:kern w:val="0"/>
          <w:sz w:val="32"/>
          <w:szCs w:val="32"/>
          <w:lang w:val="en-US" w:eastAsia="zh-CN"/>
        </w:rPr>
        <w:t>升场</w:t>
      </w:r>
      <w:r>
        <w:rPr>
          <w:rStyle w:val="18"/>
          <w:rFonts w:hint="eastAsia" w:ascii="仿宋_GB2312" w:hAnsi="宋体" w:eastAsia="仿宋_GB2312"/>
          <w:b/>
          <w:bCs/>
          <w:kern w:val="0"/>
          <w:sz w:val="32"/>
          <w:szCs w:val="32"/>
          <w:lang w:val="en-US"/>
        </w:rPr>
        <w:t>馆</w:t>
      </w:r>
      <w:r>
        <w:rPr>
          <w:rStyle w:val="18"/>
          <w:rFonts w:hint="eastAsia" w:ascii="仿宋_GB2312" w:hAnsi="宋体" w:eastAsia="仿宋_GB2312"/>
          <w:b/>
          <w:bCs/>
          <w:kern w:val="0"/>
          <w:sz w:val="32"/>
          <w:szCs w:val="32"/>
          <w:lang w:val="en-US" w:eastAsia="zh-CN"/>
        </w:rPr>
        <w:t>管理人员</w:t>
      </w:r>
      <w:r>
        <w:rPr>
          <w:rStyle w:val="18"/>
          <w:rFonts w:hint="eastAsia" w:ascii="仿宋_GB2312" w:hAnsi="宋体" w:eastAsia="仿宋_GB2312"/>
          <w:b/>
          <w:bCs/>
          <w:kern w:val="0"/>
          <w:sz w:val="32"/>
          <w:szCs w:val="32"/>
          <w:lang w:val="en-US"/>
        </w:rPr>
        <w:t>待遇</w:t>
      </w:r>
      <w:r>
        <w:rPr>
          <w:rStyle w:val="18"/>
          <w:rFonts w:hint="eastAsia" w:ascii="仿宋_GB2312" w:hAnsi="宋体" w:eastAsia="仿宋_GB2312"/>
          <w:b/>
          <w:bCs/>
          <w:kern w:val="0"/>
          <w:sz w:val="32"/>
          <w:szCs w:val="32"/>
        </w:rPr>
        <w:t>。</w:t>
      </w:r>
      <w:r>
        <w:rPr>
          <w:rStyle w:val="18"/>
          <w:rFonts w:hint="eastAsia" w:ascii="仿宋_GB2312" w:hAnsi="宋体" w:eastAsia="仿宋_GB2312"/>
          <w:kern w:val="0"/>
          <w:sz w:val="32"/>
          <w:szCs w:val="32"/>
          <w:lang w:val="en-US"/>
        </w:rPr>
        <w:t>如每年划拨专项经费给各个纪念场馆用于</w:t>
      </w:r>
      <w:r>
        <w:rPr>
          <w:rStyle w:val="18"/>
          <w:rFonts w:hint="eastAsia" w:ascii="仿宋_GB2312" w:hAnsi="宋体" w:eastAsia="仿宋_GB2312"/>
          <w:kern w:val="0"/>
          <w:sz w:val="32"/>
          <w:szCs w:val="32"/>
          <w:lang w:val="en-US" w:eastAsia="zh-CN"/>
        </w:rPr>
        <w:t>场馆</w:t>
      </w:r>
      <w:r>
        <w:rPr>
          <w:rStyle w:val="18"/>
          <w:rFonts w:hint="eastAsia" w:ascii="仿宋_GB2312" w:hAnsi="宋体" w:eastAsia="仿宋_GB2312"/>
          <w:kern w:val="0"/>
          <w:sz w:val="32"/>
          <w:szCs w:val="32"/>
          <w:lang w:val="en-US"/>
        </w:rPr>
        <w:t>维护和提升</w:t>
      </w:r>
      <w:r>
        <w:rPr>
          <w:rStyle w:val="18"/>
          <w:rFonts w:hint="eastAsia" w:ascii="仿宋_GB2312" w:hAnsi="宋体" w:eastAsia="仿宋_GB2312"/>
          <w:kern w:val="0"/>
          <w:sz w:val="32"/>
          <w:szCs w:val="32"/>
          <w:lang w:val="en-US" w:eastAsia="zh-CN"/>
        </w:rPr>
        <w:t>、提高</w:t>
      </w:r>
      <w:r>
        <w:rPr>
          <w:rStyle w:val="18"/>
          <w:rFonts w:hint="eastAsia" w:ascii="仿宋_GB2312" w:hAnsi="宋体" w:eastAsia="仿宋_GB2312"/>
          <w:kern w:val="0"/>
          <w:sz w:val="32"/>
          <w:szCs w:val="32"/>
          <w:lang w:val="en-US"/>
        </w:rPr>
        <w:t>专职管理及讲解人员福利待遇</w:t>
      </w:r>
      <w:r>
        <w:rPr>
          <w:rStyle w:val="18"/>
          <w:rFonts w:hint="eastAsia" w:ascii="仿宋_GB2312" w:hAnsi="宋体" w:eastAsia="仿宋_GB2312"/>
          <w:kern w:val="0"/>
          <w:sz w:val="32"/>
          <w:szCs w:val="32"/>
          <w:lang w:val="en-US" w:eastAsia="zh-CN"/>
        </w:rPr>
        <w:t>等，</w:t>
      </w:r>
      <w:r>
        <w:rPr>
          <w:rStyle w:val="18"/>
          <w:rFonts w:hint="eastAsia" w:ascii="仿宋_GB2312" w:hAnsi="宋体" w:eastAsia="仿宋_GB2312"/>
          <w:kern w:val="0"/>
          <w:sz w:val="32"/>
          <w:szCs w:val="32"/>
          <w:lang w:val="en-US"/>
        </w:rPr>
        <w:t>以吸引人才</w:t>
      </w:r>
      <w:r>
        <w:rPr>
          <w:rStyle w:val="18"/>
          <w:rFonts w:hint="eastAsia" w:ascii="仿宋_GB2312" w:hAnsi="宋体" w:eastAsia="仿宋_GB2312"/>
          <w:kern w:val="0"/>
          <w:sz w:val="32"/>
          <w:szCs w:val="32"/>
        </w:rPr>
        <w:t>；</w:t>
      </w:r>
      <w:r>
        <w:rPr>
          <w:rStyle w:val="18"/>
          <w:rFonts w:hint="eastAsia" w:ascii="仿宋_GB2312" w:hAnsi="宋体" w:eastAsia="仿宋_GB2312"/>
          <w:kern w:val="0"/>
          <w:sz w:val="32"/>
          <w:szCs w:val="32"/>
          <w:lang w:eastAsia="zh-CN"/>
        </w:rPr>
        <w:t>重点场所重点打造，如</w:t>
      </w:r>
      <w:r>
        <w:rPr>
          <w:rStyle w:val="18"/>
          <w:rFonts w:hint="eastAsia" w:ascii="仿宋_GB2312" w:hAnsi="宋体" w:eastAsia="仿宋_GB2312"/>
          <w:kern w:val="0"/>
          <w:sz w:val="32"/>
          <w:szCs w:val="32"/>
          <w:lang w:val="en-US"/>
        </w:rPr>
        <w:t>凯里党史陈列馆是贵州省第一个综合性党史展览馆</w:t>
      </w:r>
      <w:r>
        <w:rPr>
          <w:rStyle w:val="18"/>
          <w:rFonts w:hint="eastAsia" w:ascii="仿宋_GB2312" w:hAnsi="宋体" w:eastAsia="仿宋_GB2312"/>
          <w:kern w:val="0"/>
          <w:sz w:val="32"/>
          <w:szCs w:val="32"/>
        </w:rPr>
        <w:t>，</w:t>
      </w:r>
      <w:r>
        <w:rPr>
          <w:rStyle w:val="18"/>
          <w:rFonts w:hint="eastAsia" w:ascii="仿宋_GB2312" w:hAnsi="宋体" w:eastAsia="仿宋_GB2312"/>
          <w:kern w:val="0"/>
          <w:sz w:val="32"/>
          <w:szCs w:val="32"/>
          <w:lang w:val="en-US"/>
        </w:rPr>
        <w:t>也是州市共建对外宣传全州红色历史的重要窗口</w:t>
      </w:r>
      <w:r>
        <w:rPr>
          <w:rStyle w:val="18"/>
          <w:rFonts w:hint="eastAsia" w:ascii="仿宋_GB2312" w:hAnsi="宋体" w:eastAsia="仿宋_GB2312"/>
          <w:kern w:val="0"/>
          <w:sz w:val="32"/>
          <w:szCs w:val="32"/>
        </w:rPr>
        <w:t>，</w:t>
      </w:r>
      <w:r>
        <w:rPr>
          <w:rStyle w:val="18"/>
          <w:rFonts w:hint="eastAsia" w:ascii="仿宋_GB2312" w:hAnsi="宋体" w:eastAsia="仿宋_GB2312"/>
          <w:kern w:val="0"/>
          <w:sz w:val="32"/>
          <w:szCs w:val="32"/>
          <w:lang w:eastAsia="zh-CN"/>
        </w:rPr>
        <w:t>建议</w:t>
      </w:r>
      <w:bookmarkStart w:id="0" w:name="_GoBack"/>
      <w:bookmarkEnd w:id="0"/>
      <w:r>
        <w:rPr>
          <w:rStyle w:val="18"/>
          <w:rFonts w:hint="eastAsia" w:ascii="仿宋_GB2312" w:hAnsi="宋体" w:eastAsia="仿宋_GB2312"/>
          <w:kern w:val="0"/>
          <w:sz w:val="32"/>
          <w:szCs w:val="32"/>
          <w:lang w:eastAsia="zh-CN"/>
        </w:rPr>
        <w:t>相关州直部门帮助凯里市考虑</w:t>
      </w:r>
      <w:r>
        <w:rPr>
          <w:rStyle w:val="18"/>
          <w:rFonts w:hint="eastAsia" w:ascii="仿宋_GB2312" w:hAnsi="宋体" w:eastAsia="仿宋_GB2312"/>
          <w:kern w:val="0"/>
          <w:sz w:val="32"/>
          <w:szCs w:val="32"/>
          <w:lang w:val="en-US"/>
        </w:rPr>
        <w:t>凯里党史陈列馆提升为副科级</w:t>
      </w:r>
      <w:r>
        <w:rPr>
          <w:rStyle w:val="18"/>
          <w:rFonts w:hint="eastAsia" w:ascii="仿宋_GB2312" w:hAnsi="宋体" w:eastAsia="仿宋_GB2312"/>
          <w:kern w:val="0"/>
          <w:sz w:val="32"/>
          <w:szCs w:val="32"/>
          <w:lang w:val="en-US" w:eastAsia="zh-CN"/>
        </w:rPr>
        <w:t>全额拨款</w:t>
      </w:r>
      <w:r>
        <w:rPr>
          <w:rStyle w:val="18"/>
          <w:rFonts w:hint="eastAsia" w:ascii="仿宋_GB2312" w:hAnsi="宋体" w:eastAsia="仿宋_GB2312"/>
          <w:kern w:val="0"/>
          <w:sz w:val="32"/>
          <w:szCs w:val="32"/>
          <w:lang w:val="en-US"/>
        </w:rPr>
        <w:t>事业单位</w:t>
      </w:r>
      <w:r>
        <w:rPr>
          <w:rStyle w:val="18"/>
          <w:rFonts w:hint="eastAsia" w:ascii="仿宋_GB2312" w:hAnsi="宋体" w:eastAsia="仿宋_GB2312"/>
          <w:kern w:val="0"/>
          <w:sz w:val="32"/>
          <w:szCs w:val="32"/>
          <w:lang w:val="en-US" w:eastAsia="zh-CN"/>
        </w:rPr>
        <w:t>，配备专门编制</w:t>
      </w:r>
      <w:r>
        <w:rPr>
          <w:rStyle w:val="18"/>
          <w:rFonts w:hint="eastAsia" w:ascii="仿宋_GB2312" w:hAnsi="宋体" w:eastAsia="仿宋_GB2312"/>
          <w:kern w:val="0"/>
          <w:sz w:val="32"/>
          <w:szCs w:val="32"/>
          <w:lang w:val="en-US"/>
        </w:rPr>
        <w:t>等</w:t>
      </w:r>
      <w:r>
        <w:rPr>
          <w:rStyle w:val="18"/>
          <w:rFonts w:hint="eastAsia" w:ascii="仿宋_GB2312" w:hAnsi="宋体" w:eastAsia="仿宋_GB2312"/>
          <w:kern w:val="0"/>
          <w:sz w:val="32"/>
          <w:szCs w:val="32"/>
        </w:rPr>
        <w:t>。</w:t>
      </w:r>
    </w:p>
    <w:p>
      <w:pPr>
        <w:snapToGrid/>
        <w:spacing w:before="0" w:beforeAutospacing="0" w:after="0" w:afterAutospacing="0" w:line="560" w:lineRule="exact"/>
        <w:ind w:firstLine="642" w:firstLineChars="200"/>
        <w:jc w:val="both"/>
        <w:textAlignment w:val="baseline"/>
        <w:rPr>
          <w:rStyle w:val="18"/>
          <w:rFonts w:hint="eastAsia" w:ascii="仿宋_GB2312" w:hAnsi="宋体" w:eastAsia="仿宋_GB2312"/>
          <w:kern w:val="0"/>
          <w:sz w:val="32"/>
          <w:szCs w:val="32"/>
        </w:rPr>
      </w:pPr>
      <w:r>
        <w:rPr>
          <w:rStyle w:val="18"/>
          <w:rFonts w:hint="eastAsia" w:ascii="仿宋_GB2312" w:hAnsi="宋体" w:eastAsia="仿宋_GB2312"/>
          <w:b/>
          <w:bCs/>
          <w:kern w:val="0"/>
          <w:sz w:val="32"/>
          <w:szCs w:val="32"/>
          <w:lang w:val="en-US" w:eastAsia="zh-CN"/>
        </w:rPr>
        <w:t>四</w:t>
      </w:r>
      <w:r>
        <w:rPr>
          <w:rStyle w:val="18"/>
          <w:rFonts w:hint="eastAsia" w:ascii="仿宋_GB2312" w:hAnsi="宋体" w:eastAsia="仿宋_GB2312"/>
          <w:b/>
          <w:bCs/>
          <w:kern w:val="0"/>
          <w:sz w:val="32"/>
          <w:szCs w:val="32"/>
          <w:lang w:val="en-US"/>
        </w:rPr>
        <w:t>、加强纪念场馆之间的交流。</w:t>
      </w:r>
      <w:r>
        <w:rPr>
          <w:rStyle w:val="18"/>
          <w:rFonts w:hint="eastAsia" w:ascii="仿宋_GB2312" w:hAnsi="宋体" w:eastAsia="仿宋_GB2312"/>
          <w:kern w:val="0"/>
          <w:sz w:val="32"/>
          <w:szCs w:val="32"/>
          <w:lang w:val="en-US"/>
        </w:rPr>
        <w:t>如互相借用实物展品、成立红色场馆联盟等</w:t>
      </w:r>
      <w:r>
        <w:rPr>
          <w:rStyle w:val="18"/>
          <w:rFonts w:hint="eastAsia" w:ascii="仿宋_GB2312" w:hAnsi="宋体" w:eastAsia="仿宋_GB2312"/>
          <w:kern w:val="0"/>
          <w:sz w:val="32"/>
          <w:szCs w:val="32"/>
          <w:lang w:val="en-US" w:eastAsia="zh-CN"/>
        </w:rPr>
        <w:t>，实现资源共享。加大红色文化的宣传力度，让社会各界人士都来关心支持红色旅游挖掘、开发、利用、保护等工作，从而更好地助推黔东南州旅游业高质量发展。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rPr>
      </w:pPr>
      <w:r>
        <w:rPr>
          <w:rStyle w:val="18"/>
          <w:rFonts w:hint="eastAsia" w:ascii="仿宋_GB2312" w:hAnsi="宋体" w:eastAsia="仿宋_GB2312"/>
          <w:kern w:val="0"/>
          <w:sz w:val="32"/>
          <w:szCs w:val="32"/>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8"/>
          <w:rFonts w:hint="eastAsia" w:ascii="仿宋_GB2312" w:hAnsi="宋体" w:eastAsia="仿宋_GB2312"/>
          <w:kern w:val="0"/>
          <w:sz w:val="32"/>
          <w:szCs w:val="32"/>
          <w:lang w:val="en-US" w:eastAsia="zh-CN"/>
        </w:rPr>
      </w:pPr>
      <w:r>
        <w:rPr>
          <w:rStyle w:val="18"/>
          <w:rFonts w:hint="eastAsia" w:ascii="仿宋_GB2312" w:hAnsi="宋体" w:eastAsia="仿宋_GB2312"/>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001010101"/>
    <w:charset w:val="00"/>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华文楷体">
    <w:altName w:val="方正楷体_GBK"/>
    <w:panose1 w:val="00000000000000000000"/>
    <w:charset w:val="00"/>
    <w:family w:val="auto"/>
    <w:pitch w:val="default"/>
    <w:sig w:usb0="00000000" w:usb1="00000000" w:usb2="00000000" w:usb3="00000000" w:csb0="00040001" w:csb1="00000000"/>
  </w:font>
  <w:font w:name="方正黑体简体">
    <w:altName w:val="方正黑体_GBK"/>
    <w:panose1 w:val="03000509000000000000"/>
    <w:charset w:val="00"/>
    <w:family w:val="script"/>
    <w:pitch w:val="default"/>
    <w:sig w:usb0="00000000" w:usb1="00000000" w:usb2="00000010" w:usb3="00000000" w:csb0="00040000" w:csb1="00000000"/>
  </w:font>
  <w:font w:name="微软雅黑">
    <w:altName w:val="汉仪旗黑"/>
    <w:panose1 w:val="020B0503020002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9"/>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3"/>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noPunctuationKerning w:val="true"/>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3FFFB32C"/>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7EB87B7"/>
    <w:rsid w:val="6854075C"/>
    <w:rsid w:val="69A37ABB"/>
    <w:rsid w:val="6B6BD482"/>
    <w:rsid w:val="6B9B22E1"/>
    <w:rsid w:val="762A4BFD"/>
    <w:rsid w:val="77DEC814"/>
    <w:rsid w:val="7AFF21E4"/>
    <w:rsid w:val="7B7EC3A2"/>
    <w:rsid w:val="7C1F064D"/>
    <w:rsid w:val="7DBB9FDA"/>
    <w:rsid w:val="7E6E4452"/>
    <w:rsid w:val="7F3DD669"/>
    <w:rsid w:val="7FE0122B"/>
    <w:rsid w:val="7FFF2EBA"/>
    <w:rsid w:val="E1DB5338"/>
    <w:rsid w:val="EE7D4E26"/>
    <w:rsid w:val="F76FD043"/>
    <w:rsid w:val="FA87AF83"/>
    <w:rsid w:val="FEEF87BA"/>
    <w:rsid w:val="FF6F7B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4">
    <w:name w:val="table of authorities"/>
    <w:basedOn w:val="1"/>
    <w:next w:val="1"/>
    <w:qFormat/>
    <w:uiPriority w:val="0"/>
    <w:pPr>
      <w:ind w:left="420" w:leftChars="200"/>
    </w:pPr>
    <w:rPr>
      <w:szCs w:val="20"/>
    </w:rPr>
  </w:style>
  <w:style w:type="paragraph" w:styleId="5">
    <w:name w:val="Body Text"/>
    <w:basedOn w:val="1"/>
    <w:next w:val="3"/>
    <w:qFormat/>
    <w:uiPriority w:val="99"/>
    <w:pPr>
      <w:spacing w:afterAutospacing="1"/>
      <w:ind w:left="101"/>
    </w:pPr>
    <w:rPr>
      <w:rFonts w:ascii="宋体" w:hAnsi="宋体"/>
      <w:sz w:val="29"/>
      <w:szCs w:val="29"/>
    </w:rPr>
  </w:style>
  <w:style w:type="paragraph" w:styleId="6">
    <w:name w:val="Body Text Indent"/>
    <w:basedOn w:val="1"/>
    <w:next w:val="5"/>
    <w:qFormat/>
    <w:uiPriority w:val="99"/>
    <w:pPr>
      <w:spacing w:after="120"/>
      <w:ind w:left="420" w:leftChars="200"/>
    </w:pPr>
  </w:style>
  <w:style w:type="paragraph" w:styleId="7">
    <w:name w:val="Body Text Indent 2"/>
    <w:basedOn w:val="1"/>
    <w:next w:val="8"/>
    <w:qFormat/>
    <w:uiPriority w:val="99"/>
    <w:pPr>
      <w:spacing w:after="120" w:line="480" w:lineRule="auto"/>
      <w:ind w:left="420" w:leftChars="200"/>
    </w:pPr>
  </w:style>
  <w:style w:type="paragraph" w:styleId="8">
    <w:name w:val="Body Text Indent 3"/>
    <w:basedOn w:val="1"/>
    <w:qFormat/>
    <w:uiPriority w:val="99"/>
    <w:pPr>
      <w:ind w:left="200" w:leftChars="200"/>
    </w:pPr>
    <w:rPr>
      <w:sz w:val="16"/>
    </w:rPr>
  </w:style>
  <w:style w:type="paragraph" w:styleId="9">
    <w:name w:val="footer"/>
    <w:basedOn w:val="1"/>
    <w:link w:val="28"/>
    <w:qFormat/>
    <w:uiPriority w:val="99"/>
    <w:pPr>
      <w:snapToGrid w:val="0"/>
      <w:jc w:val="left"/>
    </w:pPr>
    <w:rPr>
      <w:sz w:val="18"/>
      <w:szCs w:val="18"/>
    </w:rPr>
  </w:style>
  <w:style w:type="paragraph" w:styleId="10">
    <w:name w:val="header"/>
    <w:basedOn w:val="1"/>
    <w:qFormat/>
    <w:uiPriority w:val="0"/>
    <w:pPr>
      <w:pBdr>
        <w:bottom w:val="single" w:color="000000" w:sz="6" w:space="0"/>
      </w:pBdr>
      <w:snapToGrid w:val="0"/>
      <w:jc w:val="center"/>
    </w:pPr>
    <w:rPr>
      <w:sz w:val="18"/>
      <w:szCs w:val="18"/>
    </w:rPr>
  </w:style>
  <w:style w:type="paragraph" w:styleId="11">
    <w:name w:val="footnote text"/>
    <w:basedOn w:val="1"/>
    <w:semiHidden/>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2"/>
    <w:basedOn w:val="6"/>
    <w:next w:val="1"/>
    <w:qFormat/>
    <w:uiPriority w:val="99"/>
    <w:pPr>
      <w:ind w:left="0" w:leftChars="0" w:firstLine="880" w:firstLineChars="200"/>
    </w:pPr>
    <w:rPr>
      <w:rFonts w:eastAsia="仿宋_GB2312"/>
    </w:rPr>
  </w:style>
  <w:style w:type="character" w:styleId="16">
    <w:name w:val="Strong"/>
    <w:qFormat/>
    <w:uiPriority w:val="0"/>
    <w:rPr>
      <w:rFonts w:cs="Times New Roman"/>
      <w:b/>
      <w:bCs/>
    </w:rPr>
  </w:style>
  <w:style w:type="character" w:styleId="17">
    <w:name w:val="Hyperlink"/>
    <w:basedOn w:val="18"/>
    <w:semiHidden/>
    <w:qFormat/>
    <w:uiPriority w:val="0"/>
    <w:rPr>
      <w:color w:val="0000FF"/>
      <w:u w:val="single"/>
    </w:rPr>
  </w:style>
  <w:style w:type="character" w:customStyle="1" w:styleId="18">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19">
    <w:name w:val="Heading1"/>
    <w:basedOn w:val="1"/>
    <w:link w:val="25"/>
    <w:qFormat/>
    <w:uiPriority w:val="0"/>
    <w:pPr>
      <w:spacing w:before="100" w:beforeAutospacing="1" w:after="100" w:afterAutospacing="1"/>
      <w:jc w:val="left"/>
    </w:pPr>
    <w:rPr>
      <w:rFonts w:ascii="宋体" w:hAnsi="宋体" w:cs="宋体"/>
      <w:b/>
      <w:bCs/>
      <w:kern w:val="36"/>
      <w:sz w:val="48"/>
      <w:szCs w:val="48"/>
    </w:rPr>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Acetate"/>
    <w:basedOn w:val="1"/>
    <w:qFormat/>
    <w:uiPriority w:val="0"/>
    <w:rPr>
      <w:sz w:val="18"/>
      <w:szCs w:val="18"/>
    </w:rPr>
  </w:style>
  <w:style w:type="paragraph" w:customStyle="1" w:styleId="22">
    <w:name w:val="UserStyle_0"/>
    <w:basedOn w:val="1"/>
    <w:next w:val="23"/>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3">
    <w:name w:val="UserStyle_1"/>
    <w:basedOn w:val="22"/>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4">
    <w:name w:val="UserStyle_2"/>
    <w:basedOn w:val="1"/>
    <w:qFormat/>
    <w:uiPriority w:val="0"/>
    <w:pPr>
      <w:spacing w:before="100" w:beforeAutospacing="1" w:after="100" w:afterAutospacing="1"/>
      <w:jc w:val="left"/>
    </w:pPr>
    <w:rPr>
      <w:rFonts w:ascii="宋体" w:hAnsi="宋体"/>
      <w:kern w:val="0"/>
      <w:sz w:val="24"/>
    </w:rPr>
  </w:style>
  <w:style w:type="character" w:customStyle="1" w:styleId="25">
    <w:name w:val="UserStyle_3"/>
    <w:basedOn w:val="18"/>
    <w:link w:val="19"/>
    <w:qFormat/>
    <w:uiPriority w:val="0"/>
    <w:rPr>
      <w:rFonts w:ascii="宋体" w:hAnsi="宋体" w:cs="宋体"/>
      <w:b/>
      <w:bCs/>
      <w:kern w:val="36"/>
      <w:sz w:val="48"/>
      <w:szCs w:val="48"/>
    </w:rPr>
  </w:style>
  <w:style w:type="character" w:customStyle="1" w:styleId="26">
    <w:name w:val="UserStyle_4"/>
    <w:basedOn w:val="18"/>
    <w:qFormat/>
    <w:uiPriority w:val="0"/>
  </w:style>
  <w:style w:type="paragraph" w:customStyle="1" w:styleId="27">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8">
    <w:name w:val="页脚 Char"/>
    <w:basedOn w:val="15"/>
    <w:link w:val="9"/>
    <w:qFormat/>
    <w:uiPriority w:val="99"/>
    <w:rPr>
      <w:rFonts w:cstheme="minorBidi"/>
      <w:kern w:val="2"/>
      <w:sz w:val="18"/>
      <w:szCs w:val="18"/>
    </w:rPr>
  </w:style>
  <w:style w:type="paragraph" w:customStyle="1" w:styleId="29">
    <w:name w:val="正文-公1"/>
    <w:basedOn w:val="30"/>
    <w:next w:val="1"/>
    <w:qFormat/>
    <w:uiPriority w:val="99"/>
    <w:pPr>
      <w:ind w:firstLine="200" w:firstLineChars="200"/>
    </w:pPr>
    <w:rPr>
      <w:rFonts w:ascii="Calibri" w:hAnsi="Calibri"/>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9"/>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2">
    <w:name w:val="正文文本首行缩进 2"/>
    <w:basedOn w:val="6"/>
    <w:qFormat/>
    <w:uiPriority w:val="0"/>
    <w:pPr>
      <w:ind w:firstLine="420" w:firstLineChars="200"/>
    </w:pPr>
    <w:rPr>
      <w:rFonts w:ascii="Calibri" w:hAnsi="Calibri" w:eastAsia="宋体" w:cs="宋体"/>
    </w:rPr>
  </w:style>
  <w:style w:type="paragraph" w:customStyle="1" w:styleId="33">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14</TotalTime>
  <ScaleCrop>false</ScaleCrop>
  <LinksUpToDate>false</LinksUpToDate>
  <CharactersWithSpaces>2054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ysgz</cp:lastModifiedBy>
  <cp:lastPrinted>2022-01-06T14:36:32Z</cp:lastPrinted>
  <dcterms:modified xsi:type="dcterms:W3CDTF">2022-01-06T14:47:56Z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0BEFFA9D6DA34548976C4312CA596319</vt:lpwstr>
  </property>
</Properties>
</file>