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0" w:beforeAutospacing="0" w:after="0" w:afterAutospacing="0" w:line="600" w:lineRule="exact"/>
        <w:jc w:val="center"/>
        <w:rPr>
          <w:rStyle w:val="13"/>
          <w:rFonts w:ascii="黑体" w:eastAsia="黑体"/>
          <w:sz w:val="44"/>
          <w:szCs w:val="44"/>
        </w:rPr>
      </w:pPr>
      <w:r>
        <w:rPr>
          <w:rStyle w:val="11"/>
          <w:rFonts w:ascii="黑体" w:eastAsia="黑体" w:cs="宋体"/>
          <w:sz w:val="44"/>
          <w:szCs w:val="44"/>
        </w:rPr>
        <w:t>中国人民政治协商会议</w:t>
      </w:r>
      <w:bookmarkStart w:id="0" w:name="_GoBack"/>
      <w:bookmarkEnd w:id="0"/>
    </w:p>
    <w:p>
      <w:pPr>
        <w:pStyle w:val="19"/>
        <w:spacing w:before="0" w:beforeAutospacing="0" w:after="0" w:afterAutospacing="0" w:line="600" w:lineRule="exact"/>
        <w:jc w:val="center"/>
        <w:rPr>
          <w:rStyle w:val="13"/>
          <w:rFonts w:hint="eastAsia"/>
          <w:sz w:val="44"/>
          <w:szCs w:val="44"/>
        </w:rPr>
      </w:pPr>
      <w:r>
        <w:rPr>
          <w:rStyle w:val="13"/>
          <w:sz w:val="44"/>
          <w:szCs w:val="44"/>
        </w:rPr>
        <w:t>黔东南苗族侗族自治州委员会</w:t>
      </w:r>
    </w:p>
    <w:p>
      <w:pPr>
        <w:pStyle w:val="19"/>
        <w:spacing w:before="0" w:beforeAutospacing="0" w:after="0" w:afterAutospacing="0" w:line="600" w:lineRule="exact"/>
        <w:jc w:val="center"/>
        <w:rPr>
          <w:rStyle w:val="13"/>
          <w:rFonts w:hint="eastAsia"/>
          <w:sz w:val="44"/>
          <w:szCs w:val="44"/>
        </w:rPr>
      </w:pPr>
      <w:r>
        <w:rPr>
          <w:rStyle w:val="13"/>
          <w:sz w:val="44"/>
          <w:szCs w:val="44"/>
        </w:rPr>
        <w:t>提</w:t>
      </w:r>
      <w:r>
        <w:rPr>
          <w:rStyle w:val="13"/>
          <w:rFonts w:hint="eastAsia"/>
          <w:sz w:val="44"/>
          <w:szCs w:val="44"/>
        </w:rPr>
        <w:t xml:space="preserve">   </w:t>
      </w:r>
      <w:r>
        <w:rPr>
          <w:rStyle w:val="13"/>
          <w:sz w:val="44"/>
          <w:szCs w:val="44"/>
        </w:rPr>
        <w:t>案</w:t>
      </w:r>
    </w:p>
    <w:p>
      <w:pPr>
        <w:spacing w:line="320" w:lineRule="exact"/>
        <w:jc w:val="center"/>
        <w:textAlignment w:val="top"/>
        <w:rPr>
          <w:rStyle w:val="13"/>
          <w:rFonts w:hint="eastAsia" w:ascii="宋体" w:hAnsi="宋体"/>
          <w:kern w:val="0"/>
          <w:sz w:val="24"/>
        </w:rPr>
      </w:pPr>
    </w:p>
    <w:p>
      <w:pPr>
        <w:spacing w:line="320" w:lineRule="exact"/>
        <w:jc w:val="center"/>
        <w:textAlignment w:val="top"/>
        <w:rPr>
          <w:rStyle w:val="13"/>
          <w:rFonts w:hint="eastAsia" w:ascii="宋体" w:hAnsi="宋体"/>
          <w:kern w:val="0"/>
          <w:sz w:val="24"/>
        </w:rPr>
      </w:pPr>
    </w:p>
    <w:p>
      <w:pPr>
        <w:spacing w:line="760" w:lineRule="exact"/>
        <w:jc w:val="both"/>
        <w:textAlignment w:val="top"/>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3"/>
          <w:rFonts w:hint="default" w:ascii="宋体" w:hAnsi="宋体" w:eastAsia="宋体"/>
          <w:kern w:val="0"/>
          <w:sz w:val="24"/>
          <w:lang w:val="en-US" w:eastAsia="zh-CN"/>
        </w:rPr>
      </w:pPr>
      <w:r>
        <w:rPr>
          <w:rStyle w:val="13"/>
          <w:rFonts w:ascii="宋体" w:hAnsi="宋体"/>
          <w:kern w:val="0"/>
          <w:sz w:val="24"/>
        </w:rPr>
        <w:t>第十</w:t>
      </w:r>
      <w:r>
        <w:rPr>
          <w:rStyle w:val="13"/>
          <w:rFonts w:hint="eastAsia" w:ascii="宋体" w:hAnsi="宋体"/>
          <w:kern w:val="0"/>
          <w:sz w:val="24"/>
          <w:lang w:val="en-US" w:eastAsia="zh-CN"/>
        </w:rPr>
        <w:t>三</w:t>
      </w:r>
      <w:r>
        <w:rPr>
          <w:rStyle w:val="13"/>
          <w:rFonts w:ascii="宋体" w:hAnsi="宋体"/>
          <w:kern w:val="0"/>
          <w:sz w:val="24"/>
        </w:rPr>
        <w:t>届第</w:t>
      </w:r>
      <w:r>
        <w:rPr>
          <w:rStyle w:val="13"/>
          <w:rFonts w:hint="eastAsia" w:ascii="宋体" w:hAnsi="宋体"/>
          <w:kern w:val="0"/>
          <w:sz w:val="24"/>
          <w:lang w:val="en-US" w:eastAsia="zh-CN"/>
        </w:rPr>
        <w:t>一</w:t>
      </w:r>
      <w:r>
        <w:rPr>
          <w:rStyle w:val="13"/>
          <w:rFonts w:ascii="宋体" w:hAnsi="宋体"/>
          <w:kern w:val="0"/>
          <w:sz w:val="24"/>
        </w:rPr>
        <w:t>次会议　       　第</w:t>
      </w:r>
      <w:r>
        <w:rPr>
          <w:rStyle w:val="13"/>
          <w:rFonts w:hint="eastAsia" w:ascii="宋体" w:hAnsi="宋体"/>
          <w:kern w:val="0"/>
          <w:sz w:val="24"/>
          <w:lang w:val="en-US" w:eastAsia="zh-CN"/>
        </w:rPr>
        <w:t>166</w:t>
      </w:r>
      <w:r>
        <w:rPr>
          <w:rStyle w:val="13"/>
          <w:rFonts w:ascii="宋体" w:hAnsi="宋体"/>
          <w:kern w:val="0"/>
          <w:sz w:val="24"/>
        </w:rPr>
        <w:t xml:space="preserve">号　    </w:t>
      </w:r>
      <w:r>
        <w:rPr>
          <w:rStyle w:val="13"/>
          <w:rFonts w:hint="eastAsia" w:ascii="宋体" w:hAnsi="宋体"/>
          <w:kern w:val="0"/>
          <w:sz w:val="24"/>
        </w:rPr>
        <w:t xml:space="preserve">    </w:t>
      </w:r>
      <w:r>
        <w:rPr>
          <w:rStyle w:val="13"/>
          <w:rFonts w:hint="eastAsia" w:ascii="宋体" w:hAnsi="宋体"/>
          <w:kern w:val="0"/>
          <w:sz w:val="24"/>
          <w:lang w:val="en-US" w:eastAsia="zh-CN"/>
        </w:rPr>
        <w:t xml:space="preserve"> 类别：社会建设类     </w:t>
      </w:r>
    </w:p>
    <w:p>
      <w:pPr>
        <w:spacing w:line="320" w:lineRule="exact"/>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9"/>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案</w:t>
            </w:r>
            <w:r>
              <w:rPr>
                <w:rStyle w:val="13"/>
                <w:rFonts w:ascii="宋体" w:hAnsi="宋体" w:eastAsia="黑体" w:cs="宋体"/>
                <w:b/>
                <w:bCs/>
                <w:kern w:val="0"/>
                <w:sz w:val="24"/>
              </w:rPr>
              <w:t>  </w:t>
            </w:r>
            <w:r>
              <w:rPr>
                <w:rStyle w:val="13"/>
                <w:rFonts w:ascii="黑体" w:hAnsi="宋体" w:eastAsia="黑体" w:cs="宋体"/>
                <w:b/>
                <w:bCs/>
                <w:kern w:val="0"/>
                <w:sz w:val="24"/>
              </w:rPr>
              <w:t>由</w:t>
            </w:r>
            <w:r>
              <w:rPr>
                <w:rStyle w:val="13"/>
                <w:rFonts w:ascii="宋体" w:hAnsi="宋体" w:cs="宋体"/>
                <w:b/>
                <w:bCs/>
                <w:kern w:val="0"/>
                <w:sz w:val="24"/>
              </w:rPr>
              <w:t>：</w:t>
            </w:r>
          </w:p>
        </w:tc>
        <w:tc>
          <w:tcPr>
            <w:tcW w:w="6797" w:type="dxa"/>
            <w:gridSpan w:val="3"/>
            <w:vAlign w:val="center"/>
          </w:tcPr>
          <w:p>
            <w:pPr>
              <w:jc w:val="left"/>
              <w:rPr>
                <w:rStyle w:val="13"/>
                <w:rFonts w:ascii="宋体" w:hAnsi="宋体" w:cs="宋体"/>
                <w:b/>
                <w:bCs/>
                <w:kern w:val="0"/>
                <w:sz w:val="24"/>
              </w:rPr>
            </w:pPr>
            <w:r>
              <w:rPr>
                <w:rFonts w:hint="eastAsia"/>
              </w:rPr>
              <w:t>关于黔东南州在发展乡村振兴中需要注意的几个问题及建议</w:t>
            </w:r>
          </w:p>
        </w:tc>
      </w:tr>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审查意见</w:t>
            </w:r>
            <w:r>
              <w:rPr>
                <w:rStyle w:val="13"/>
                <w:rFonts w:ascii="宋体" w:hAnsi="宋体" w:cs="宋体"/>
                <w:b/>
                <w:bCs/>
                <w:kern w:val="0"/>
                <w:sz w:val="24"/>
              </w:rPr>
              <w:t>：</w:t>
            </w:r>
          </w:p>
        </w:tc>
        <w:tc>
          <w:tcPr>
            <w:tcW w:w="6797" w:type="dxa"/>
            <w:gridSpan w:val="3"/>
            <w:vAlign w:val="center"/>
          </w:tcPr>
          <w:p>
            <w:pPr>
              <w:jc w:val="left"/>
              <w:rPr>
                <w:rStyle w:val="13"/>
                <w:rFonts w:hint="eastAsia" w:ascii="宋体" w:hAnsi="宋体"/>
                <w:kern w:val="0"/>
                <w:sz w:val="24"/>
                <w:lang w:val="en-US" w:eastAsia="zh-CN"/>
              </w:rPr>
            </w:pPr>
            <w:r>
              <w:rPr>
                <w:rStyle w:val="13"/>
                <w:rFonts w:hint="eastAsia" w:ascii="宋体" w:hAnsi="宋体"/>
                <w:kern w:val="0"/>
                <w:sz w:val="24"/>
                <w:lang w:eastAsia="zh-CN"/>
              </w:rPr>
              <w:t>主办：</w:t>
            </w:r>
            <w:r>
              <w:rPr>
                <w:rStyle w:val="13"/>
                <w:rFonts w:hint="eastAsia" w:ascii="宋体" w:hAnsi="宋体"/>
                <w:kern w:val="0"/>
                <w:sz w:val="24"/>
                <w:lang w:val="en-US" w:eastAsia="zh-CN"/>
              </w:rPr>
              <w:t>州乡村振兴局  会办：州农业农村局、州自然资源局、</w:t>
            </w:r>
          </w:p>
          <w:p>
            <w:pPr>
              <w:ind w:firstLine="3120" w:firstLineChars="1300"/>
              <w:jc w:val="left"/>
              <w:rPr>
                <w:rStyle w:val="13"/>
                <w:rFonts w:hint="default" w:ascii="宋体" w:hAnsi="宋体"/>
                <w:kern w:val="0"/>
                <w:sz w:val="24"/>
                <w:lang w:val="en-US" w:eastAsia="zh-CN"/>
              </w:rPr>
            </w:pPr>
            <w:r>
              <w:rPr>
                <w:rStyle w:val="13"/>
                <w:rFonts w:hint="eastAsia" w:ascii="宋体" w:hAnsi="宋体"/>
                <w:kern w:val="0"/>
                <w:sz w:val="24"/>
                <w:lang w:val="en-US" w:eastAsia="zh-CN"/>
              </w:rPr>
              <w:t>州住建局</w:t>
            </w:r>
          </w:p>
        </w:tc>
      </w:tr>
      <w:tr>
        <w:tblPrEx>
          <w:tblCellMar>
            <w:top w:w="0" w:type="dxa"/>
            <w:left w:w="15" w:type="dxa"/>
            <w:bottom w:w="0" w:type="dxa"/>
            <w:right w:w="15" w:type="dxa"/>
          </w:tblCellMar>
        </w:tblPrEx>
        <w:tc>
          <w:tcPr>
            <w:tcW w:w="1753" w:type="dxa"/>
            <w:vAlign w:val="center"/>
          </w:tcPr>
          <w:p>
            <w:pPr>
              <w:jc w:val="left"/>
              <w:rPr>
                <w:rStyle w:val="13"/>
                <w:rFonts w:ascii="黑体" w:hAnsi="宋体" w:eastAsia="黑体"/>
                <w:kern w:val="0"/>
                <w:sz w:val="24"/>
              </w:rPr>
            </w:pPr>
            <w:r>
              <w:rPr>
                <w:rStyle w:val="13"/>
                <w:rFonts w:ascii="黑体" w:hAnsi="宋体" w:eastAsia="黑体" w:cs="宋体"/>
                <w:b/>
                <w:bCs/>
                <w:kern w:val="0"/>
                <w:sz w:val="24"/>
              </w:rPr>
              <w:t>提</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案</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人</w:t>
            </w:r>
            <w:r>
              <w:rPr>
                <w:rStyle w:val="13"/>
                <w:rFonts w:ascii="宋体" w:hAnsi="宋体" w:eastAsia="黑体" w:cs="宋体"/>
                <w:b/>
                <w:bCs/>
                <w:kern w:val="0"/>
                <w:sz w:val="24"/>
              </w:rPr>
              <w:t>：</w:t>
            </w:r>
          </w:p>
        </w:tc>
        <w:tc>
          <w:tcPr>
            <w:tcW w:w="3872" w:type="dxa"/>
            <w:vAlign w:val="center"/>
          </w:tcPr>
          <w:p>
            <w:pPr>
              <w:jc w:val="left"/>
              <w:rPr>
                <w:rStyle w:val="13"/>
                <w:rFonts w:ascii="宋体" w:hAnsi="宋体"/>
                <w:kern w:val="0"/>
                <w:sz w:val="24"/>
              </w:rPr>
            </w:pPr>
            <w:r>
              <w:rPr>
                <w:rStyle w:val="13"/>
                <w:rFonts w:ascii="宋体" w:hAnsi="宋体" w:cs="宋体"/>
                <w:b/>
                <w:bCs/>
                <w:kern w:val="0"/>
                <w:sz w:val="24"/>
              </w:rPr>
              <w:t>通讯地址</w:t>
            </w:r>
          </w:p>
        </w:tc>
        <w:tc>
          <w:tcPr>
            <w:tcW w:w="1440" w:type="dxa"/>
            <w:vAlign w:val="center"/>
          </w:tcPr>
          <w:p>
            <w:pPr>
              <w:jc w:val="left"/>
              <w:rPr>
                <w:rStyle w:val="13"/>
                <w:rFonts w:ascii="宋体" w:hAnsi="宋体"/>
                <w:kern w:val="0"/>
                <w:sz w:val="24"/>
              </w:rPr>
            </w:pPr>
            <w:r>
              <w:rPr>
                <w:rStyle w:val="13"/>
                <w:rFonts w:ascii="宋体" w:hAnsi="宋体" w:cs="宋体"/>
                <w:b/>
                <w:bCs/>
                <w:kern w:val="0"/>
                <w:sz w:val="24"/>
              </w:rPr>
              <w:t>邮政编码</w:t>
            </w:r>
          </w:p>
        </w:tc>
        <w:tc>
          <w:tcPr>
            <w:tcW w:w="1485" w:type="dxa"/>
            <w:vAlign w:val="center"/>
          </w:tcPr>
          <w:p>
            <w:pPr>
              <w:jc w:val="left"/>
              <w:rPr>
                <w:rStyle w:val="13"/>
                <w:rFonts w:ascii="宋体" w:hAnsi="宋体"/>
                <w:kern w:val="0"/>
                <w:sz w:val="24"/>
              </w:rPr>
            </w:pPr>
            <w:r>
              <w:rPr>
                <w:rStyle w:val="13"/>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4"/>
              <w:ind w:left="0" w:leftChars="0" w:firstLine="0" w:firstLineChars="0"/>
              <w:rPr>
                <w:rFonts w:hint="eastAsia" w:eastAsia="宋体"/>
                <w:lang w:eastAsia="zh-CN"/>
              </w:rPr>
            </w:pPr>
            <w:r>
              <w:rPr>
                <w:rFonts w:hint="eastAsia" w:eastAsia="宋体"/>
                <w:lang w:eastAsia="zh-CN"/>
              </w:rPr>
              <w:t>欧建国</w:t>
            </w:r>
          </w:p>
        </w:tc>
        <w:tc>
          <w:tcPr>
            <w:tcW w:w="3872" w:type="dxa"/>
            <w:vAlign w:val="center"/>
          </w:tcPr>
          <w:p>
            <w:pPr>
              <w:jc w:val="left"/>
              <w:rPr>
                <w:rStyle w:val="13"/>
                <w:rFonts w:hint="eastAsia" w:ascii="宋体" w:hAnsi="宋体" w:eastAsia="宋体"/>
                <w:kern w:val="0"/>
                <w:sz w:val="24"/>
                <w:lang w:val="en-US" w:eastAsia="zh-CN"/>
              </w:rPr>
            </w:pPr>
            <w:r>
              <w:rPr>
                <w:rFonts w:hint="eastAsia"/>
              </w:rPr>
              <w:t>贵州省黎平县麒麟家园林家井16号</w:t>
            </w:r>
          </w:p>
        </w:tc>
        <w:tc>
          <w:tcPr>
            <w:tcW w:w="1440" w:type="dxa"/>
            <w:vAlign w:val="center"/>
          </w:tcPr>
          <w:p>
            <w:pPr>
              <w:jc w:val="left"/>
              <w:rPr>
                <w:rStyle w:val="13"/>
                <w:rFonts w:hint="default" w:ascii="宋体" w:hAnsi="宋体" w:eastAsia="宋体"/>
                <w:kern w:val="0"/>
                <w:sz w:val="24"/>
                <w:lang w:val="en-US" w:eastAsia="zh-CN"/>
              </w:rPr>
            </w:pPr>
            <w:r>
              <w:rPr>
                <w:rStyle w:val="13"/>
                <w:rFonts w:hint="eastAsia" w:ascii="宋体" w:hAnsi="宋体"/>
                <w:kern w:val="0"/>
                <w:sz w:val="24"/>
                <w:lang w:val="en-US" w:eastAsia="zh-CN"/>
              </w:rPr>
              <w:t>557300</w:t>
            </w:r>
          </w:p>
        </w:tc>
        <w:tc>
          <w:tcPr>
            <w:tcW w:w="1485" w:type="dxa"/>
            <w:vAlign w:val="center"/>
          </w:tcPr>
          <w:p>
            <w:pPr>
              <w:jc w:val="left"/>
              <w:rPr>
                <w:rFonts w:hint="default"/>
                <w:lang w:val="en-US" w:eastAsia="zh-CN"/>
              </w:rPr>
            </w:pPr>
            <w:r>
              <w:rPr>
                <w:rFonts w:hint="eastAsia"/>
              </w:rPr>
              <w:t>13638066369</w:t>
            </w:r>
          </w:p>
        </w:tc>
      </w:tr>
      <w:tr>
        <w:tblPrEx>
          <w:tblCellMar>
            <w:top w:w="0" w:type="dxa"/>
            <w:left w:w="15" w:type="dxa"/>
            <w:bottom w:w="0" w:type="dxa"/>
            <w:right w:w="15" w:type="dxa"/>
          </w:tblCellMar>
        </w:tblPrEx>
        <w:tc>
          <w:tcPr>
            <w:tcW w:w="1753" w:type="dxa"/>
            <w:vAlign w:val="center"/>
          </w:tcPr>
          <w:p>
            <w:pPr>
              <w:jc w:val="left"/>
              <w:rPr>
                <w:rStyle w:val="13"/>
                <w:rFonts w:hint="eastAsia" w:ascii="宋体" w:hAnsi="宋体" w:eastAsia="宋体"/>
                <w:kern w:val="0"/>
                <w:sz w:val="24"/>
                <w:lang w:eastAsia="zh-CN"/>
              </w:rPr>
            </w:pPr>
            <w:r>
              <w:rPr>
                <w:rStyle w:val="13"/>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3"/>
                <w:rFonts w:hint="eastAsia" w:ascii="宋体" w:hAnsi="宋体"/>
                <w:kern w:val="0"/>
                <w:sz w:val="24"/>
                <w:lang w:val="en-US" w:eastAsia="zh-CN"/>
              </w:rPr>
            </w:pPr>
            <w:r>
              <w:rPr>
                <w:rStyle w:val="13"/>
                <w:rFonts w:hint="eastAsia" w:ascii="宋体" w:hAnsi="宋体"/>
                <w:kern w:val="0"/>
                <w:sz w:val="24"/>
                <w:lang w:eastAsia="zh-CN"/>
              </w:rPr>
              <w:t>州委办秘书五科：</w:t>
            </w:r>
            <w:r>
              <w:rPr>
                <w:rStyle w:val="13"/>
                <w:rFonts w:hint="eastAsia" w:ascii="宋体" w:hAnsi="宋体"/>
                <w:kern w:val="0"/>
                <w:sz w:val="24"/>
                <w:lang w:val="en-US" w:eastAsia="zh-CN"/>
              </w:rPr>
              <w:t>8270060；</w:t>
            </w:r>
            <w:r>
              <w:rPr>
                <w:rStyle w:val="13"/>
                <w:rFonts w:hint="eastAsia" w:ascii="宋体" w:hAnsi="宋体"/>
                <w:kern w:val="0"/>
                <w:sz w:val="24"/>
                <w:lang w:eastAsia="zh-CN"/>
              </w:rPr>
              <w:t>州政府办建议提案科：</w:t>
            </w:r>
            <w:r>
              <w:rPr>
                <w:rStyle w:val="13"/>
                <w:rFonts w:hint="eastAsia" w:ascii="宋体" w:hAnsi="宋体"/>
                <w:kern w:val="0"/>
                <w:sz w:val="24"/>
                <w:lang w:val="en-US" w:eastAsia="zh-CN"/>
              </w:rPr>
              <w:t>8260016；</w:t>
            </w:r>
          </w:p>
          <w:p>
            <w:pPr>
              <w:jc w:val="left"/>
              <w:rPr>
                <w:rStyle w:val="13"/>
                <w:rFonts w:hint="default" w:ascii="宋体" w:hAnsi="宋体"/>
                <w:kern w:val="0"/>
                <w:sz w:val="24"/>
                <w:lang w:val="en-US"/>
              </w:rPr>
            </w:pPr>
            <w:r>
              <w:rPr>
                <w:rStyle w:val="13"/>
                <w:rFonts w:hint="eastAsia" w:ascii="宋体" w:hAnsi="宋体"/>
                <w:kern w:val="0"/>
                <w:sz w:val="24"/>
                <w:lang w:eastAsia="zh-CN"/>
              </w:rPr>
              <w:t>州政协提案委：</w:t>
            </w:r>
            <w:r>
              <w:rPr>
                <w:rStyle w:val="13"/>
                <w:rFonts w:hint="eastAsia" w:ascii="宋体" w:hAnsi="宋体"/>
                <w:kern w:val="0"/>
                <w:sz w:val="24"/>
                <w:lang w:val="en-US" w:eastAsia="zh-CN"/>
              </w:rPr>
              <w:t>8428866</w:t>
            </w:r>
            <w:r>
              <w:rPr>
                <w:rStyle w:val="13"/>
                <w:rFonts w:hint="eastAsia" w:ascii="宋体" w:hAnsi="宋体"/>
                <w:kern w:val="0"/>
                <w:sz w:val="24"/>
                <w:lang w:eastAsia="zh-CN"/>
              </w:rPr>
              <w:t>。</w:t>
            </w:r>
          </w:p>
        </w:tc>
      </w:tr>
    </w:tbl>
    <w:p>
      <w:pPr>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内容和办法</w:t>
      </w:r>
      <w:r>
        <w:rPr>
          <w:rStyle w:val="13"/>
          <w:rFonts w:hint="eastAsia" w:ascii="仿宋_GB2312" w:hAnsi="宋体" w:eastAsia="仿宋_GB2312"/>
          <w:kern w:val="0"/>
          <w:sz w:val="32"/>
          <w:szCs w:val="32"/>
          <w:lang w:eastAsia="zh-CN"/>
        </w:rPr>
        <w:t>：</w:t>
      </w:r>
    </w:p>
    <w:p>
      <w:pPr>
        <w:keepNext w:val="0"/>
        <w:keepLines w:val="0"/>
        <w:pageBreakBefore w:val="0"/>
        <w:kinsoku/>
        <w:overflowPunct/>
        <w:autoSpaceDE/>
        <w:autoSpaceDN/>
        <w:bidi w:val="0"/>
        <w:adjustRightInd/>
        <w:snapToGrid/>
        <w:spacing w:beforeAutospacing="0" w:afterAutospacing="0" w:line="560" w:lineRule="exact"/>
        <w:ind w:firstLine="640" w:firstLineChars="200"/>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乡村对于黔东南来说，具有稀缺性资源价值。发挥乡村资源优势，需要在科学规划与有效实施之间把握节奏，既要有更精准的发展定位和更长远的战略规划，也要在具体实施过程中做到因地制宜、因时制宜。在推进乡村振兴示范村建设</w:t>
      </w:r>
      <w:r>
        <w:rPr>
          <w:rStyle w:val="13"/>
          <w:rFonts w:hint="eastAsia" w:ascii="仿宋_GB2312" w:hAnsi="宋体" w:eastAsia="仿宋_GB2312"/>
          <w:kern w:val="0"/>
          <w:sz w:val="32"/>
          <w:szCs w:val="32"/>
          <w:lang w:eastAsia="zh-CN"/>
        </w:rPr>
        <w:t>、</w:t>
      </w:r>
      <w:r>
        <w:rPr>
          <w:rStyle w:val="13"/>
          <w:rFonts w:hint="eastAsia" w:ascii="仿宋_GB2312" w:hAnsi="宋体" w:eastAsia="仿宋_GB2312"/>
          <w:kern w:val="0"/>
          <w:sz w:val="32"/>
          <w:szCs w:val="32"/>
        </w:rPr>
        <w:t>优化农村人居环境等重点工作中，仍存在以下问题：</w: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　　一、在乡村规划的理念认知层面，存在乡村肌理和乡村特征要素“被弱化”的问题。要警惕以“城市社区再造”的理念规划乡村，特别是在以乡村振兴示范村建设为试点推进农民相对集中居住过程中，不能按照城市建设的思路去规划复制，更不能把乡村建成城市风格。切忌在乡村建筑风貌设计中体现“去农村化”的“兵营式”风格，带来乡村文化记忆的丧失。</w: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　　二、在调动农民参与积极性方面，存在农民主体作用发挥不充分问题。诸多国际化大都市推动乡村振兴运动的成功案例显示，乡村振兴“活的”经验和有益创造诞生在一线，归根结底，在于充分尊重和激发农民的主体性作用，让农民广泛参与其中。切忌政府因包揽过多、权责边界不明等带来发展的制约。</w: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　　三、在项目规划和实施进度方面，存在“长期目标短期见效”“过于急于求成”问题。乡村振兴事关百年大计。乡村总体规划、产业造血机制培育等尚需时间，应防范将乡村振兴长期历史任务短期化的倾向，克服推进中的急躁心态。具体到一些涉农土地、资金等相关政策落实，还需因事而异。切忌在推进过程中以“一刀切”的时间节点作为强制性要求，应留有相对灵活的时间和空间余地。</w: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　　四、在目标任务达成效果方面，要防止“以典型塑政绩”、追求“盆景式风景”情况的发生。产业兴旺是乡村振兴的核心和关键，真正以产业带动的乡村，才可能让乡村活起来，让农民富起来，才可能具有可复制、可推广价值。切忌以财政高成本、高投入换来“盆景式”再造，这将为乡村未来的可持续发展带来难题。</w:t>
      </w:r>
    </w:p>
    <w:p>
      <w:pPr>
        <w:keepNext w:val="0"/>
        <w:keepLines w:val="0"/>
        <w:pageBreakBefore w:val="0"/>
        <w:kinsoku/>
        <w:overflowPunct/>
        <w:autoSpaceDE/>
        <w:autoSpaceDN/>
        <w:bidi w:val="0"/>
        <w:adjustRightInd/>
        <w:snapToGrid/>
        <w:spacing w:beforeAutospacing="0" w:afterAutospacing="0" w:line="560" w:lineRule="exact"/>
        <w:ind w:firstLine="640"/>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建议：</w:t>
      </w:r>
    </w:p>
    <w:p>
      <w:pPr>
        <w:keepNext w:val="0"/>
        <w:keepLines w:val="0"/>
        <w:pageBreakBefore w:val="0"/>
        <w:kinsoku/>
        <w:overflowPunct/>
        <w:autoSpaceDE/>
        <w:autoSpaceDN/>
        <w:bidi w:val="0"/>
        <w:adjustRightInd/>
        <w:snapToGrid/>
        <w:spacing w:beforeAutospacing="0" w:afterAutospacing="0" w:line="560" w:lineRule="exact"/>
        <w:ind w:firstLine="640"/>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一、注重乡村价值的保护和挖掘。充分尊重黔东南的自然肌理和生态脉络，充分保护乡村的生态、生产和生活的空间功能，展现其完整复合式生态系统价值。除了深化理念认知，更要在具体的规划和实施过程中下更大功夫研究。</w: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　　二、注重发挥农民的主体性作用。在措施方法上激发农民的内生活力和动力。对于如何建房，在哪里建房，建什么样风貌的住房等问题，通过机制和流程再造，进一步明晰推进主体；对于基础性设施建设，以县、乡、镇等财政投入为主，进行整体性推进；对于村民自主建房、修缮、翻建等，充分释放村民自主选择权，在保持风格相对统一的前提下，充分给予自主选择的空间；对于建房出资等问题，从长远考虑应通过建立机制明晰权责。</w: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　　三、注重规划村落建设因时制宜。要慎重把握实施节奏的轻重缓急，必要时，可针对具体实施项目的价值判断和价值考量，做到州、县两级“一事一议”，给予适当的弹性实施时间，避免对项目完工节点要求过死。</w:t>
      </w:r>
    </w:p>
    <w:p>
      <w:pPr>
        <w:keepNext w:val="0"/>
        <w:keepLines w:val="0"/>
        <w:pageBreakBefore w:val="0"/>
        <w:kinsoku/>
        <w:overflowPunct/>
        <w:autoSpaceDE/>
        <w:autoSpaceDN/>
        <w:bidi w:val="0"/>
        <w:adjustRightInd/>
        <w:snapToGrid/>
        <w:spacing w:beforeAutospacing="0" w:afterAutospacing="0"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　　四、注重考量测评分类指导、因地制宜。真正做到不同的项目内容，有不同的特色和价值；不同的区域村落，有不同的空间特征、沿革历史和发展实力；不同的规划方案，有不同的财力构成和资金来源。以更灵活的考量和测评机制予以分类指导、因地制宜，给予有步骤、分阶段的科学引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left"/>
        <w:rPr>
          <w:rFonts w:hint="eastAsia" w:ascii="仿宋" w:hAnsi="仿宋" w:eastAsia="仿宋" w:cs="仿宋"/>
          <w:color w:val="333333"/>
          <w:kern w:val="2"/>
          <w:sz w:val="32"/>
          <w:szCs w:val="32"/>
          <w:lang w:val="en-US" w:eastAsia="zh-CN" w:bidi="ar"/>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3"/>
          <w:rFonts w:hint="eastAsia" w:ascii="仿宋" w:hAnsi="仿宋" w:eastAsia="仿宋" w:cs="仿宋"/>
          <w:kern w:val="0"/>
          <w:sz w:val="32"/>
          <w:szCs w:val="32"/>
          <w:lang w:val="en-US" w:eastAsia="zh-CN"/>
        </w:rPr>
      </w:pPr>
      <w:r>
        <w:rPr>
          <w:rStyle w:val="13"/>
          <w:rFonts w:hint="eastAsia" w:ascii="黑体" w:hAnsi="黑体" w:eastAsia="黑体" w:cs="黑体"/>
          <w:b/>
          <w:bCs/>
          <w:kern w:val="0"/>
          <w:sz w:val="32"/>
          <w:szCs w:val="32"/>
          <w:lang w:val="en-US" w:eastAsia="zh-CN"/>
        </w:rPr>
        <w:t>注：</w:t>
      </w:r>
      <w:r>
        <w:rPr>
          <w:rStyle w:val="13"/>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3"/>
          <w:rFonts w:hint="default"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10B40BCC"/>
    <w:rsid w:val="118823F2"/>
    <w:rsid w:val="13C57EA3"/>
    <w:rsid w:val="16F969DB"/>
    <w:rsid w:val="18EC1E64"/>
    <w:rsid w:val="1B913D76"/>
    <w:rsid w:val="1BAB45FA"/>
    <w:rsid w:val="1D124BB8"/>
    <w:rsid w:val="20E366FE"/>
    <w:rsid w:val="21EA0B57"/>
    <w:rsid w:val="23370767"/>
    <w:rsid w:val="24BD47D4"/>
    <w:rsid w:val="254B7D55"/>
    <w:rsid w:val="280B3E99"/>
    <w:rsid w:val="29BB0497"/>
    <w:rsid w:val="29EB237C"/>
    <w:rsid w:val="2BDD0731"/>
    <w:rsid w:val="2FD84B80"/>
    <w:rsid w:val="30B878C9"/>
    <w:rsid w:val="317F3112"/>
    <w:rsid w:val="32794BB9"/>
    <w:rsid w:val="33552650"/>
    <w:rsid w:val="35A1653F"/>
    <w:rsid w:val="377737A4"/>
    <w:rsid w:val="38D60616"/>
    <w:rsid w:val="3A7B4D73"/>
    <w:rsid w:val="3D865DCA"/>
    <w:rsid w:val="3F1A5C90"/>
    <w:rsid w:val="42F10C9F"/>
    <w:rsid w:val="443741D2"/>
    <w:rsid w:val="493508EE"/>
    <w:rsid w:val="497C7186"/>
    <w:rsid w:val="4A196944"/>
    <w:rsid w:val="4A6A10A6"/>
    <w:rsid w:val="4F1E6C2C"/>
    <w:rsid w:val="4F6B5D70"/>
    <w:rsid w:val="4FD75182"/>
    <w:rsid w:val="507F065A"/>
    <w:rsid w:val="5236789E"/>
    <w:rsid w:val="559F1A55"/>
    <w:rsid w:val="5A7C34BF"/>
    <w:rsid w:val="5AA17385"/>
    <w:rsid w:val="5B7C24C8"/>
    <w:rsid w:val="5C6B77F5"/>
    <w:rsid w:val="5DE04603"/>
    <w:rsid w:val="61895CCF"/>
    <w:rsid w:val="66F35DD9"/>
    <w:rsid w:val="67615A51"/>
    <w:rsid w:val="6854075C"/>
    <w:rsid w:val="69A37ABB"/>
    <w:rsid w:val="6A644AE2"/>
    <w:rsid w:val="6F5974BD"/>
    <w:rsid w:val="72DF1356"/>
    <w:rsid w:val="737B52FA"/>
    <w:rsid w:val="743C31A8"/>
    <w:rsid w:val="74620891"/>
    <w:rsid w:val="75FC7C1A"/>
    <w:rsid w:val="778C0E73"/>
    <w:rsid w:val="78491FD0"/>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able of authorities"/>
    <w:basedOn w:val="1"/>
    <w:next w:val="1"/>
    <w:qFormat/>
    <w:uiPriority w:val="0"/>
    <w:pPr>
      <w:ind w:left="420" w:leftChars="200"/>
    </w:pPr>
    <w:rPr>
      <w:szCs w:val="20"/>
    </w:rPr>
  </w:style>
  <w:style w:type="paragraph" w:styleId="5">
    <w:name w:val="footer"/>
    <w:basedOn w:val="1"/>
    <w:link w:val="25"/>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Autospacing="1" w:afterAutospacing="1"/>
      <w:jc w:val="left"/>
    </w:pPr>
    <w:rPr>
      <w:kern w:val="0"/>
      <w:sz w:val="24"/>
    </w:rPr>
  </w:style>
  <w:style w:type="character" w:styleId="11">
    <w:name w:val="Strong"/>
    <w:qFormat/>
    <w:uiPriority w:val="0"/>
    <w:rPr>
      <w:rFonts w:cs="Times New Roman"/>
      <w:b/>
      <w:bCs/>
    </w:rPr>
  </w:style>
  <w:style w:type="character" w:styleId="12">
    <w:name w:val="Hyperlink"/>
    <w:basedOn w:val="13"/>
    <w:semiHidden/>
    <w:qFormat/>
    <w:uiPriority w:val="0"/>
    <w:rPr>
      <w:color w:val="0000FF"/>
      <w:u w:val="single"/>
    </w:rPr>
  </w:style>
  <w:style w:type="character" w:customStyle="1" w:styleId="13">
    <w:name w:val="NormalCharacter"/>
    <w:semiHidden/>
    <w:qFormat/>
    <w:uiPriority w:val="0"/>
  </w:style>
  <w:style w:type="paragraph" w:customStyle="1" w:styleId="14">
    <w:name w:val="NormalIndent"/>
    <w:basedOn w:val="1"/>
    <w:qFormat/>
    <w:uiPriority w:val="0"/>
    <w:pPr>
      <w:ind w:firstLine="420" w:firstLineChars="200"/>
      <w:jc w:val="both"/>
      <w:textAlignment w:val="baseline"/>
    </w:pPr>
    <w:rPr>
      <w:rFonts w:ascii="Times New Roman" w:hAnsi="Times New Roman"/>
      <w:kern w:val="2"/>
      <w:sz w:val="21"/>
      <w:szCs w:val="21"/>
      <w:lang w:val="en-US" w:eastAsia="zh-CN" w:bidi="ar-SA"/>
    </w:rPr>
  </w:style>
  <w:style w:type="paragraph" w:customStyle="1" w:styleId="15">
    <w:name w:val="正文-公1"/>
    <w:basedOn w:val="1"/>
    <w:qFormat/>
    <w:uiPriority w:val="99"/>
    <w:pPr>
      <w:ind w:firstLine="200" w:firstLineChars="200"/>
    </w:pPr>
    <w:rPr>
      <w:rFonts w:ascii="Calibri" w:hAnsi="Calibri"/>
    </w:rPr>
  </w:style>
  <w:style w:type="paragraph" w:customStyle="1" w:styleId="16">
    <w:name w:val="Heading1"/>
    <w:basedOn w:val="1"/>
    <w:link w:val="22"/>
    <w:qFormat/>
    <w:uiPriority w:val="0"/>
    <w:pPr>
      <w:spacing w:before="100" w:beforeAutospacing="1" w:after="100" w:afterAutospacing="1"/>
      <w:jc w:val="left"/>
    </w:pPr>
    <w:rPr>
      <w:rFonts w:ascii="宋体" w:hAnsi="宋体" w:cs="宋体"/>
      <w:b/>
      <w:bCs/>
      <w:kern w:val="36"/>
      <w:sz w:val="48"/>
      <w:szCs w:val="48"/>
    </w:rPr>
  </w:style>
  <w:style w:type="table" w:customStyle="1" w:styleId="17">
    <w:name w:val="TableNormal"/>
    <w:semiHidden/>
    <w:qFormat/>
    <w:uiPriority w:val="0"/>
    <w:tblPr>
      <w:tblCellMar>
        <w:top w:w="0" w:type="dxa"/>
        <w:left w:w="0" w:type="dxa"/>
        <w:bottom w:w="0" w:type="dxa"/>
        <w:right w:w="0" w:type="dxa"/>
      </w:tblCellMar>
    </w:tblPr>
  </w:style>
  <w:style w:type="paragraph" w:customStyle="1" w:styleId="18">
    <w:name w:val="Acetate"/>
    <w:basedOn w:val="1"/>
    <w:qFormat/>
    <w:uiPriority w:val="0"/>
    <w:rPr>
      <w:sz w:val="18"/>
      <w:szCs w:val="18"/>
    </w:rPr>
  </w:style>
  <w:style w:type="paragraph" w:customStyle="1" w:styleId="19">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0">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1">
    <w:name w:val="UserStyle_2"/>
    <w:basedOn w:val="1"/>
    <w:qFormat/>
    <w:uiPriority w:val="0"/>
    <w:pPr>
      <w:spacing w:before="100" w:beforeAutospacing="1" w:after="100" w:afterAutospacing="1"/>
      <w:jc w:val="left"/>
    </w:pPr>
    <w:rPr>
      <w:rFonts w:ascii="宋体" w:hAnsi="宋体"/>
      <w:kern w:val="0"/>
      <w:sz w:val="24"/>
    </w:rPr>
  </w:style>
  <w:style w:type="character" w:customStyle="1" w:styleId="22">
    <w:name w:val="UserStyle_3"/>
    <w:basedOn w:val="13"/>
    <w:link w:val="16"/>
    <w:qFormat/>
    <w:uiPriority w:val="0"/>
    <w:rPr>
      <w:rFonts w:ascii="宋体" w:hAnsi="宋体" w:cs="宋体"/>
      <w:b/>
      <w:bCs/>
      <w:kern w:val="36"/>
      <w:sz w:val="48"/>
      <w:szCs w:val="48"/>
    </w:rPr>
  </w:style>
  <w:style w:type="character" w:customStyle="1" w:styleId="23">
    <w:name w:val="UserStyle_4"/>
    <w:basedOn w:val="13"/>
    <w:qFormat/>
    <w:uiPriority w:val="0"/>
  </w:style>
  <w:style w:type="paragraph" w:customStyle="1" w:styleId="24">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5">
    <w:name w:val="页脚 Char"/>
    <w:basedOn w:val="10"/>
    <w:link w:val="5"/>
    <w:qFormat/>
    <w:uiPriority w:val="99"/>
    <w:rPr>
      <w:rFonts w:cstheme="minorBidi"/>
      <w:kern w:val="2"/>
      <w:sz w:val="18"/>
      <w:szCs w:val="18"/>
    </w:rPr>
  </w:style>
  <w:style w:type="paragraph" w:customStyle="1" w:styleId="26">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7">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2022-01-06T07:35:26Z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5C68C84BFBC44F7894A11C03DD1B83D1</vt:lpwstr>
  </property>
</Properties>
</file>