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before="0" w:beforeAutospacing="0" w:after="0" w:afterAutospacing="0" w:line="600" w:lineRule="exact"/>
        <w:jc w:val="center"/>
        <w:rPr>
          <w:rStyle w:val="15"/>
          <w:rFonts w:ascii="黑体" w:eastAsia="黑体"/>
          <w:sz w:val="44"/>
          <w:szCs w:val="44"/>
        </w:rPr>
      </w:pPr>
      <w:r>
        <w:rPr>
          <w:rStyle w:val="13"/>
          <w:rFonts w:ascii="黑体" w:eastAsia="黑体" w:cs="宋体"/>
          <w:sz w:val="44"/>
          <w:szCs w:val="44"/>
        </w:rPr>
        <w:t>中国人民政治协商会议</w:t>
      </w:r>
    </w:p>
    <w:p>
      <w:pPr>
        <w:pStyle w:val="19"/>
        <w:spacing w:before="0" w:beforeAutospacing="0" w:after="0" w:afterAutospacing="0" w:line="600" w:lineRule="exact"/>
        <w:jc w:val="center"/>
        <w:rPr>
          <w:rStyle w:val="15"/>
          <w:rFonts w:hint="eastAsia"/>
          <w:sz w:val="44"/>
          <w:szCs w:val="44"/>
        </w:rPr>
      </w:pPr>
      <w:r>
        <w:rPr>
          <w:rStyle w:val="15"/>
          <w:sz w:val="44"/>
          <w:szCs w:val="44"/>
        </w:rPr>
        <w:t>黔东南苗族侗族自治州委员会</w:t>
      </w:r>
    </w:p>
    <w:p>
      <w:pPr>
        <w:pStyle w:val="19"/>
        <w:spacing w:before="0" w:beforeAutospacing="0" w:after="0" w:afterAutospacing="0" w:line="600" w:lineRule="exact"/>
        <w:jc w:val="center"/>
        <w:rPr>
          <w:rStyle w:val="15"/>
          <w:rFonts w:hint="eastAsia"/>
          <w:sz w:val="44"/>
          <w:szCs w:val="44"/>
        </w:rPr>
      </w:pPr>
      <w:r>
        <w:rPr>
          <w:rStyle w:val="15"/>
          <w:sz w:val="44"/>
          <w:szCs w:val="44"/>
        </w:rPr>
        <w:t>提</w:t>
      </w:r>
      <w:r>
        <w:rPr>
          <w:rStyle w:val="15"/>
          <w:rFonts w:hint="eastAsia"/>
          <w:sz w:val="44"/>
          <w:szCs w:val="44"/>
        </w:rPr>
        <w:t xml:space="preserve">   </w:t>
      </w:r>
      <w:r>
        <w:rPr>
          <w:rStyle w:val="15"/>
          <w:sz w:val="44"/>
          <w:szCs w:val="44"/>
        </w:rPr>
        <w:t>案</w:t>
      </w:r>
    </w:p>
    <w:p>
      <w:pPr>
        <w:spacing w:line="320" w:lineRule="exact"/>
        <w:jc w:val="center"/>
        <w:textAlignment w:val="top"/>
        <w:rPr>
          <w:rStyle w:val="15"/>
          <w:rFonts w:hint="eastAsia" w:ascii="宋体" w:hAnsi="宋体"/>
          <w:kern w:val="0"/>
          <w:sz w:val="24"/>
        </w:rPr>
      </w:pPr>
    </w:p>
    <w:p>
      <w:pPr>
        <w:spacing w:line="320" w:lineRule="exact"/>
        <w:jc w:val="center"/>
        <w:textAlignment w:val="top"/>
        <w:rPr>
          <w:rStyle w:val="15"/>
          <w:rFonts w:hint="eastAsia" w:ascii="宋体" w:hAnsi="宋体"/>
          <w:kern w:val="0"/>
          <w:sz w:val="24"/>
        </w:rPr>
      </w:pPr>
    </w:p>
    <w:p>
      <w:pPr>
        <w:spacing w:line="760" w:lineRule="exact"/>
        <w:jc w:val="both"/>
        <w:textAlignment w:val="top"/>
        <w:rPr>
          <w:rStyle w:val="15"/>
          <w:rFonts w:ascii="宋体" w:hAnsi="宋体"/>
          <w:kern w:val="0"/>
          <w:sz w:val="24"/>
        </w:rPr>
      </w:pPr>
      <w:r>
        <w:rPr>
          <w:rStyle w:val="15"/>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5"/>
          <w:rFonts w:hint="default" w:ascii="宋体" w:hAnsi="宋体" w:eastAsia="宋体"/>
          <w:kern w:val="0"/>
          <w:sz w:val="24"/>
          <w:lang w:val="en-US" w:eastAsia="zh-CN"/>
        </w:rPr>
      </w:pPr>
      <w:r>
        <w:rPr>
          <w:rStyle w:val="15"/>
          <w:rFonts w:ascii="宋体" w:hAnsi="宋体"/>
          <w:kern w:val="0"/>
          <w:sz w:val="24"/>
        </w:rPr>
        <w:t>第十</w:t>
      </w:r>
      <w:r>
        <w:rPr>
          <w:rStyle w:val="15"/>
          <w:rFonts w:hint="eastAsia" w:ascii="宋体" w:hAnsi="宋体"/>
          <w:kern w:val="0"/>
          <w:sz w:val="24"/>
          <w:lang w:val="en-US" w:eastAsia="zh-CN"/>
        </w:rPr>
        <w:t>三</w:t>
      </w:r>
      <w:r>
        <w:rPr>
          <w:rStyle w:val="15"/>
          <w:rFonts w:ascii="宋体" w:hAnsi="宋体"/>
          <w:kern w:val="0"/>
          <w:sz w:val="24"/>
        </w:rPr>
        <w:t>届第</w:t>
      </w:r>
      <w:r>
        <w:rPr>
          <w:rStyle w:val="15"/>
          <w:rFonts w:hint="eastAsia" w:ascii="宋体" w:hAnsi="宋体"/>
          <w:kern w:val="0"/>
          <w:sz w:val="24"/>
          <w:lang w:val="en-US" w:eastAsia="zh-CN"/>
        </w:rPr>
        <w:t>一</w:t>
      </w:r>
      <w:r>
        <w:rPr>
          <w:rStyle w:val="15"/>
          <w:rFonts w:ascii="宋体" w:hAnsi="宋体"/>
          <w:kern w:val="0"/>
          <w:sz w:val="24"/>
        </w:rPr>
        <w:t>次会议　       　第</w:t>
      </w:r>
      <w:r>
        <w:rPr>
          <w:rStyle w:val="15"/>
          <w:rFonts w:hint="eastAsia" w:ascii="宋体" w:hAnsi="宋体"/>
          <w:kern w:val="0"/>
          <w:sz w:val="24"/>
          <w:lang w:val="en-US" w:eastAsia="zh-CN"/>
        </w:rPr>
        <w:t>102</w:t>
      </w:r>
      <w:r>
        <w:rPr>
          <w:rStyle w:val="15"/>
          <w:rFonts w:ascii="宋体" w:hAnsi="宋体"/>
          <w:kern w:val="0"/>
          <w:sz w:val="24"/>
        </w:rPr>
        <w:t xml:space="preserve">号　    </w:t>
      </w:r>
      <w:r>
        <w:rPr>
          <w:rStyle w:val="15"/>
          <w:rFonts w:hint="eastAsia" w:ascii="宋体" w:hAnsi="宋体"/>
          <w:kern w:val="0"/>
          <w:sz w:val="24"/>
        </w:rPr>
        <w:t xml:space="preserve">    </w:t>
      </w:r>
      <w:r>
        <w:rPr>
          <w:rStyle w:val="15"/>
          <w:rFonts w:hint="eastAsia" w:ascii="宋体" w:hAnsi="宋体"/>
          <w:kern w:val="0"/>
          <w:sz w:val="24"/>
          <w:lang w:val="en-US" w:eastAsia="zh-CN"/>
        </w:rPr>
        <w:t xml:space="preserve"> 类别：政治建设类     </w:t>
      </w:r>
    </w:p>
    <w:p>
      <w:pPr>
        <w:spacing w:line="320" w:lineRule="exact"/>
        <w:jc w:val="left"/>
        <w:rPr>
          <w:rStyle w:val="15"/>
          <w:rFonts w:ascii="宋体" w:hAnsi="宋体"/>
          <w:kern w:val="0"/>
          <w:sz w:val="24"/>
        </w:rPr>
      </w:pPr>
      <w:r>
        <w:rPr>
          <w:rStyle w:val="15"/>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1"/>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5"/>
                <w:rFonts w:ascii="宋体" w:hAnsi="宋体"/>
                <w:kern w:val="0"/>
                <w:sz w:val="24"/>
              </w:rPr>
            </w:pPr>
            <w:r>
              <w:rPr>
                <w:rStyle w:val="15"/>
                <w:rFonts w:ascii="黑体" w:hAnsi="宋体" w:eastAsia="黑体" w:cs="宋体"/>
                <w:b/>
                <w:bCs/>
                <w:kern w:val="0"/>
                <w:sz w:val="24"/>
              </w:rPr>
              <w:t>案</w:t>
            </w:r>
            <w:r>
              <w:rPr>
                <w:rStyle w:val="15"/>
                <w:rFonts w:ascii="宋体" w:hAnsi="宋体" w:eastAsia="黑体" w:cs="宋体"/>
                <w:b/>
                <w:bCs/>
                <w:kern w:val="0"/>
                <w:sz w:val="24"/>
              </w:rPr>
              <w:t>  </w:t>
            </w:r>
            <w:r>
              <w:rPr>
                <w:rStyle w:val="15"/>
                <w:rFonts w:ascii="黑体" w:hAnsi="宋体" w:eastAsia="黑体" w:cs="宋体"/>
                <w:b/>
                <w:bCs/>
                <w:kern w:val="0"/>
                <w:sz w:val="24"/>
              </w:rPr>
              <w:t>由</w:t>
            </w:r>
            <w:r>
              <w:rPr>
                <w:rStyle w:val="15"/>
                <w:rFonts w:ascii="宋体" w:hAnsi="宋体" w:cs="宋体"/>
                <w:b/>
                <w:bCs/>
                <w:kern w:val="0"/>
                <w:sz w:val="24"/>
              </w:rPr>
              <w:t>：</w:t>
            </w:r>
          </w:p>
        </w:tc>
        <w:tc>
          <w:tcPr>
            <w:tcW w:w="6797" w:type="dxa"/>
            <w:gridSpan w:val="3"/>
            <w:vAlign w:val="center"/>
          </w:tcPr>
          <w:p>
            <w:pPr>
              <w:jc w:val="left"/>
              <w:rPr>
                <w:rStyle w:val="15"/>
                <w:rFonts w:hint="eastAsia" w:ascii="宋体" w:hAnsi="宋体" w:eastAsia="宋体" w:cs="宋体"/>
                <w:b/>
                <w:bCs/>
                <w:kern w:val="0"/>
                <w:sz w:val="24"/>
                <w:lang w:eastAsia="zh-CN"/>
              </w:rPr>
            </w:pPr>
            <w:r>
              <w:rPr>
                <w:rFonts w:hint="default" w:ascii="Times New Roman" w:hAnsi="Times New Roman" w:cs="Times New Roman"/>
                <w:b/>
                <w:bCs/>
                <w:kern w:val="0"/>
                <w:sz w:val="24"/>
              </w:rPr>
              <w:t>关于进一步完善县域普通高中教师引进扶持政策的建议</w:t>
            </w:r>
          </w:p>
        </w:tc>
      </w:tr>
      <w:tr>
        <w:tblPrEx>
          <w:tblCellMar>
            <w:top w:w="0" w:type="dxa"/>
            <w:left w:w="15" w:type="dxa"/>
            <w:bottom w:w="0" w:type="dxa"/>
            <w:right w:w="15" w:type="dxa"/>
          </w:tblCellMar>
        </w:tblPrEx>
        <w:tc>
          <w:tcPr>
            <w:tcW w:w="1753" w:type="dxa"/>
            <w:vAlign w:val="center"/>
          </w:tcPr>
          <w:p>
            <w:pPr>
              <w:jc w:val="left"/>
              <w:rPr>
                <w:rStyle w:val="15"/>
                <w:rFonts w:ascii="宋体" w:hAnsi="宋体"/>
                <w:kern w:val="0"/>
                <w:sz w:val="24"/>
              </w:rPr>
            </w:pPr>
            <w:r>
              <w:rPr>
                <w:rStyle w:val="15"/>
                <w:rFonts w:ascii="黑体" w:hAnsi="宋体" w:eastAsia="黑体" w:cs="宋体"/>
                <w:b/>
                <w:bCs/>
                <w:kern w:val="0"/>
                <w:sz w:val="24"/>
              </w:rPr>
              <w:t>审查意见</w:t>
            </w:r>
            <w:r>
              <w:rPr>
                <w:rStyle w:val="15"/>
                <w:rFonts w:ascii="宋体" w:hAnsi="宋体" w:cs="宋体"/>
                <w:b/>
                <w:bCs/>
                <w:kern w:val="0"/>
                <w:sz w:val="24"/>
              </w:rPr>
              <w:t>：</w:t>
            </w:r>
          </w:p>
        </w:tc>
        <w:tc>
          <w:tcPr>
            <w:tcW w:w="6797" w:type="dxa"/>
            <w:gridSpan w:val="3"/>
            <w:vAlign w:val="center"/>
          </w:tcPr>
          <w:p>
            <w:pPr>
              <w:jc w:val="left"/>
              <w:rPr>
                <w:rStyle w:val="15"/>
                <w:rFonts w:hint="default" w:ascii="宋体" w:hAnsi="宋体"/>
                <w:kern w:val="0"/>
                <w:sz w:val="24"/>
                <w:lang w:val="en-US" w:eastAsia="zh-CN"/>
              </w:rPr>
            </w:pPr>
            <w:r>
              <w:rPr>
                <w:rStyle w:val="15"/>
                <w:rFonts w:hint="eastAsia" w:ascii="宋体" w:hAnsi="宋体"/>
                <w:kern w:val="0"/>
                <w:sz w:val="24"/>
                <w:lang w:eastAsia="zh-CN"/>
              </w:rPr>
              <w:t>主办：</w:t>
            </w:r>
            <w:r>
              <w:rPr>
                <w:rStyle w:val="15"/>
                <w:rFonts w:hint="eastAsia" w:ascii="宋体" w:hAnsi="宋体"/>
                <w:kern w:val="0"/>
                <w:sz w:val="24"/>
                <w:lang w:val="en-US" w:eastAsia="zh-CN"/>
              </w:rPr>
              <w:t>州教育局   会办：州人社局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5"/>
                <w:rFonts w:ascii="黑体" w:hAnsi="宋体" w:eastAsia="黑体"/>
                <w:kern w:val="0"/>
                <w:sz w:val="24"/>
              </w:rPr>
            </w:pPr>
            <w:r>
              <w:rPr>
                <w:rStyle w:val="15"/>
                <w:rFonts w:ascii="黑体" w:hAnsi="宋体" w:eastAsia="黑体" w:cs="宋体"/>
                <w:b/>
                <w:bCs/>
                <w:kern w:val="0"/>
                <w:sz w:val="24"/>
              </w:rPr>
              <w:t>提</w:t>
            </w:r>
            <w:r>
              <w:rPr>
                <w:rStyle w:val="15"/>
                <w:rFonts w:ascii="宋体" w:hAnsi="宋体" w:eastAsia="黑体" w:cs="宋体"/>
                <w:b/>
                <w:bCs/>
                <w:kern w:val="0"/>
                <w:sz w:val="24"/>
              </w:rPr>
              <w:t> </w:t>
            </w:r>
            <w:r>
              <w:rPr>
                <w:rStyle w:val="15"/>
                <w:rFonts w:ascii="黑体" w:hAnsi="宋体" w:eastAsia="黑体" w:cs="宋体"/>
                <w:b/>
                <w:bCs/>
                <w:kern w:val="0"/>
                <w:sz w:val="24"/>
              </w:rPr>
              <w:t>案人</w:t>
            </w:r>
            <w:r>
              <w:rPr>
                <w:rStyle w:val="15"/>
                <w:rFonts w:ascii="宋体" w:hAnsi="宋体" w:eastAsia="黑体" w:cs="宋体"/>
                <w:b/>
                <w:bCs/>
                <w:kern w:val="0"/>
                <w:sz w:val="24"/>
              </w:rPr>
              <w:t>：</w:t>
            </w:r>
          </w:p>
        </w:tc>
        <w:tc>
          <w:tcPr>
            <w:tcW w:w="3872" w:type="dxa"/>
            <w:vAlign w:val="center"/>
          </w:tcPr>
          <w:p>
            <w:pPr>
              <w:jc w:val="left"/>
              <w:rPr>
                <w:rStyle w:val="15"/>
                <w:rFonts w:ascii="宋体" w:hAnsi="宋体"/>
                <w:kern w:val="0"/>
                <w:sz w:val="24"/>
              </w:rPr>
            </w:pPr>
            <w:r>
              <w:rPr>
                <w:rStyle w:val="15"/>
                <w:rFonts w:ascii="宋体" w:hAnsi="宋体" w:cs="宋体"/>
                <w:b/>
                <w:bCs/>
                <w:kern w:val="0"/>
                <w:sz w:val="24"/>
              </w:rPr>
              <w:t>通讯地址</w:t>
            </w:r>
          </w:p>
        </w:tc>
        <w:tc>
          <w:tcPr>
            <w:tcW w:w="1440" w:type="dxa"/>
            <w:vAlign w:val="center"/>
          </w:tcPr>
          <w:p>
            <w:pPr>
              <w:jc w:val="left"/>
              <w:rPr>
                <w:rStyle w:val="15"/>
                <w:rFonts w:ascii="宋体" w:hAnsi="宋体"/>
                <w:kern w:val="0"/>
                <w:sz w:val="24"/>
              </w:rPr>
            </w:pPr>
            <w:r>
              <w:rPr>
                <w:rStyle w:val="15"/>
                <w:rFonts w:ascii="宋体" w:hAnsi="宋体" w:cs="宋体"/>
                <w:b/>
                <w:bCs/>
                <w:kern w:val="0"/>
                <w:sz w:val="24"/>
              </w:rPr>
              <w:t>邮政编码</w:t>
            </w:r>
          </w:p>
        </w:tc>
        <w:tc>
          <w:tcPr>
            <w:tcW w:w="1485" w:type="dxa"/>
            <w:vAlign w:val="center"/>
          </w:tcPr>
          <w:p>
            <w:pPr>
              <w:jc w:val="left"/>
              <w:rPr>
                <w:rStyle w:val="15"/>
                <w:rFonts w:ascii="宋体" w:hAnsi="宋体"/>
                <w:kern w:val="0"/>
                <w:sz w:val="24"/>
              </w:rPr>
            </w:pPr>
            <w:r>
              <w:rPr>
                <w:rStyle w:val="15"/>
                <w:rFonts w:ascii="宋体" w:hAnsi="宋体" w:cs="宋体"/>
                <w:b/>
                <w:bCs/>
                <w:kern w:val="0"/>
                <w:sz w:val="24"/>
              </w:rPr>
              <w:t>联系电话</w:t>
            </w:r>
          </w:p>
        </w:tc>
      </w:tr>
      <w:tr>
        <w:tc>
          <w:tcPr>
            <w:tcW w:w="1753" w:type="dxa"/>
            <w:vAlign w:val="center"/>
          </w:tcPr>
          <w:p>
            <w:pPr>
              <w:jc w:val="left"/>
              <w:rPr>
                <w:rStyle w:val="15"/>
                <w:rFonts w:hint="eastAsia" w:ascii="宋体" w:hAnsi="宋体" w:eastAsia="宋体"/>
                <w:kern w:val="0"/>
                <w:sz w:val="24"/>
                <w:lang w:eastAsia="zh-CN"/>
              </w:rPr>
            </w:pPr>
            <w:r>
              <w:rPr>
                <w:rStyle w:val="15"/>
                <w:rFonts w:hint="eastAsia" w:ascii="宋体" w:hAnsi="宋体"/>
                <w:kern w:val="0"/>
                <w:sz w:val="24"/>
                <w:lang w:eastAsia="zh-CN"/>
              </w:rPr>
              <w:t>杨泽华</w:t>
            </w:r>
          </w:p>
        </w:tc>
        <w:tc>
          <w:tcPr>
            <w:tcW w:w="3872" w:type="dxa"/>
            <w:vAlign w:val="center"/>
          </w:tcPr>
          <w:p>
            <w:pPr>
              <w:jc w:val="left"/>
              <w:rPr>
                <w:rStyle w:val="15"/>
                <w:rFonts w:hint="eastAsia" w:ascii="宋体" w:hAnsi="宋体" w:eastAsia="宋体"/>
                <w:kern w:val="0"/>
                <w:sz w:val="24"/>
                <w:lang w:val="en-US" w:eastAsia="zh-CN"/>
              </w:rPr>
            </w:pPr>
            <w:r>
              <w:rPr>
                <w:rFonts w:hint="eastAsia" w:cs="Times New Roman"/>
                <w:kern w:val="0"/>
                <w:sz w:val="24"/>
                <w:lang w:eastAsia="zh-CN"/>
              </w:rPr>
              <w:t>天柱民族中学</w:t>
            </w:r>
          </w:p>
        </w:tc>
        <w:tc>
          <w:tcPr>
            <w:tcW w:w="1440" w:type="dxa"/>
            <w:vAlign w:val="center"/>
          </w:tcPr>
          <w:p>
            <w:pPr>
              <w:jc w:val="left"/>
              <w:rPr>
                <w:rStyle w:val="15"/>
                <w:rFonts w:ascii="宋体" w:hAnsi="宋体"/>
                <w:kern w:val="0"/>
                <w:sz w:val="24"/>
              </w:rPr>
            </w:pPr>
            <w:r>
              <w:rPr>
                <w:rFonts w:hint="default" w:ascii="Times New Roman" w:hAnsi="Times New Roman" w:cs="Times New Roman"/>
                <w:kern w:val="0"/>
                <w:sz w:val="24"/>
              </w:rPr>
              <w:t>556</w:t>
            </w:r>
            <w:r>
              <w:rPr>
                <w:rFonts w:hint="eastAsia" w:cs="Times New Roman"/>
                <w:kern w:val="0"/>
                <w:sz w:val="24"/>
                <w:lang w:val="en-US" w:eastAsia="zh-CN"/>
              </w:rPr>
              <w:t>6</w:t>
            </w:r>
            <w:r>
              <w:rPr>
                <w:rFonts w:hint="default" w:ascii="Times New Roman" w:hAnsi="Times New Roman" w:cs="Times New Roman"/>
                <w:kern w:val="0"/>
                <w:sz w:val="24"/>
              </w:rPr>
              <w:t>00</w:t>
            </w:r>
          </w:p>
        </w:tc>
        <w:tc>
          <w:tcPr>
            <w:tcW w:w="1485" w:type="dxa"/>
            <w:vAlign w:val="center"/>
          </w:tcPr>
          <w:p>
            <w:pPr>
              <w:jc w:val="left"/>
              <w:rPr>
                <w:rStyle w:val="15"/>
                <w:rFonts w:hint="default" w:ascii="宋体" w:hAnsi="宋体" w:eastAsia="宋体"/>
                <w:kern w:val="0"/>
                <w:sz w:val="24"/>
                <w:lang w:val="en-US" w:eastAsia="zh-CN"/>
              </w:rPr>
            </w:pPr>
            <w:r>
              <w:rPr>
                <w:rFonts w:hint="eastAsia" w:cs="Times New Roman"/>
                <w:kern w:val="0"/>
                <w:sz w:val="24"/>
                <w:lang w:val="en-US" w:eastAsia="zh-CN"/>
              </w:rPr>
              <w:t>15885842859</w:t>
            </w:r>
          </w:p>
        </w:tc>
      </w:tr>
      <w:tr>
        <w:tblPrEx>
          <w:tblCellMar>
            <w:top w:w="0" w:type="dxa"/>
            <w:left w:w="15" w:type="dxa"/>
            <w:bottom w:w="0" w:type="dxa"/>
            <w:right w:w="15" w:type="dxa"/>
          </w:tblCellMar>
        </w:tblPrEx>
        <w:tc>
          <w:tcPr>
            <w:tcW w:w="1753" w:type="dxa"/>
            <w:vAlign w:val="center"/>
          </w:tcPr>
          <w:p>
            <w:pPr>
              <w:jc w:val="left"/>
              <w:rPr>
                <w:rStyle w:val="15"/>
                <w:rFonts w:hint="eastAsia" w:ascii="宋体" w:hAnsi="宋体" w:eastAsia="宋体"/>
                <w:kern w:val="0"/>
                <w:sz w:val="24"/>
                <w:lang w:eastAsia="zh-CN"/>
              </w:rPr>
            </w:pPr>
            <w:r>
              <w:rPr>
                <w:rStyle w:val="15"/>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5"/>
                <w:rFonts w:hint="eastAsia" w:ascii="宋体" w:hAnsi="宋体"/>
                <w:kern w:val="0"/>
                <w:sz w:val="24"/>
                <w:lang w:val="en-US" w:eastAsia="zh-CN"/>
              </w:rPr>
            </w:pPr>
            <w:r>
              <w:rPr>
                <w:rStyle w:val="15"/>
                <w:rFonts w:hint="eastAsia" w:ascii="宋体" w:hAnsi="宋体"/>
                <w:kern w:val="0"/>
                <w:sz w:val="24"/>
                <w:lang w:eastAsia="zh-CN"/>
              </w:rPr>
              <w:t>州委办秘书五科：</w:t>
            </w:r>
            <w:r>
              <w:rPr>
                <w:rStyle w:val="15"/>
                <w:rFonts w:hint="eastAsia" w:ascii="宋体" w:hAnsi="宋体"/>
                <w:kern w:val="0"/>
                <w:sz w:val="24"/>
                <w:lang w:val="en-US" w:eastAsia="zh-CN"/>
              </w:rPr>
              <w:t>8270060；</w:t>
            </w:r>
            <w:r>
              <w:rPr>
                <w:rStyle w:val="15"/>
                <w:rFonts w:hint="eastAsia" w:ascii="宋体" w:hAnsi="宋体"/>
                <w:kern w:val="0"/>
                <w:sz w:val="24"/>
                <w:lang w:eastAsia="zh-CN"/>
              </w:rPr>
              <w:t>州政府办建议提案科：</w:t>
            </w:r>
            <w:r>
              <w:rPr>
                <w:rStyle w:val="15"/>
                <w:rFonts w:hint="eastAsia" w:ascii="宋体" w:hAnsi="宋体"/>
                <w:kern w:val="0"/>
                <w:sz w:val="24"/>
                <w:lang w:val="en-US" w:eastAsia="zh-CN"/>
              </w:rPr>
              <w:t>8260016；</w:t>
            </w:r>
          </w:p>
          <w:p>
            <w:pPr>
              <w:jc w:val="left"/>
              <w:rPr>
                <w:rStyle w:val="15"/>
                <w:rFonts w:hint="default" w:ascii="宋体" w:hAnsi="宋体"/>
                <w:kern w:val="0"/>
                <w:sz w:val="24"/>
                <w:lang w:val="en-US"/>
              </w:rPr>
            </w:pPr>
            <w:r>
              <w:rPr>
                <w:rStyle w:val="15"/>
                <w:rFonts w:hint="eastAsia" w:ascii="宋体" w:hAnsi="宋体"/>
                <w:kern w:val="0"/>
                <w:sz w:val="24"/>
                <w:lang w:eastAsia="zh-CN"/>
              </w:rPr>
              <w:t>州政协提案委：</w:t>
            </w:r>
            <w:r>
              <w:rPr>
                <w:rStyle w:val="15"/>
                <w:rFonts w:hint="eastAsia" w:ascii="宋体" w:hAnsi="宋体"/>
                <w:kern w:val="0"/>
                <w:sz w:val="24"/>
                <w:lang w:val="en-US" w:eastAsia="zh-CN"/>
              </w:rPr>
              <w:t>8428866</w:t>
            </w:r>
            <w:r>
              <w:rPr>
                <w:rStyle w:val="15"/>
                <w:rFonts w:hint="eastAsia" w:ascii="宋体" w:hAnsi="宋体"/>
                <w:kern w:val="0"/>
                <w:sz w:val="24"/>
                <w:lang w:eastAsia="zh-CN"/>
              </w:rPr>
              <w:t>。</w:t>
            </w:r>
          </w:p>
        </w:tc>
      </w:tr>
    </w:tbl>
    <w:p>
      <w:pPr>
        <w:jc w:val="left"/>
        <w:rPr>
          <w:rStyle w:val="15"/>
          <w:rFonts w:ascii="宋体" w:hAnsi="宋体"/>
          <w:kern w:val="0"/>
          <w:sz w:val="24"/>
        </w:rPr>
      </w:pPr>
      <w:r>
        <w:rPr>
          <w:rStyle w:val="15"/>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5"/>
          <w:rFonts w:hint="eastAsia" w:ascii="仿宋_GB2312" w:hAnsi="宋体" w:eastAsia="仿宋_GB2312"/>
          <w:kern w:val="0"/>
          <w:sz w:val="32"/>
          <w:szCs w:val="32"/>
        </w:rPr>
      </w:pPr>
      <w:r>
        <w:rPr>
          <w:rStyle w:val="15"/>
          <w:rFonts w:hint="eastAsia" w:ascii="仿宋_GB2312" w:hAnsi="宋体" w:eastAsia="仿宋_GB2312"/>
          <w:kern w:val="0"/>
          <w:sz w:val="32"/>
          <w:szCs w:val="32"/>
        </w:rPr>
        <w:t>内容和办法</w:t>
      </w:r>
      <w:r>
        <w:rPr>
          <w:rStyle w:val="15"/>
          <w:rFonts w:hint="eastAsia" w:ascii="仿宋_GB2312" w:hAnsi="宋体" w:eastAsia="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为全面提高县</w:t>
      </w:r>
      <w:r>
        <w:rPr>
          <w:rFonts w:hint="eastAsia" w:ascii="仿宋" w:hAnsi="仿宋" w:eastAsia="仿宋" w:cs="仿宋"/>
          <w:sz w:val="32"/>
          <w:szCs w:val="32"/>
          <w:lang w:eastAsia="zh-CN"/>
        </w:rPr>
        <w:t>域高</w:t>
      </w:r>
      <w:r>
        <w:rPr>
          <w:rFonts w:hint="eastAsia" w:ascii="仿宋" w:hAnsi="仿宋" w:eastAsia="仿宋" w:cs="仿宋"/>
          <w:sz w:val="32"/>
          <w:szCs w:val="32"/>
        </w:rPr>
        <w:t>中教育质量，教育部、国家发展改革委、财政部等九部门2021年12月16日联合印发《“十四五”县域普通高中发展提升行动计划》。县域普通高中是县域内教育资源的集聚高地，</w:t>
      </w:r>
      <w:r>
        <w:rPr>
          <w:rFonts w:hint="eastAsia" w:ascii="仿宋" w:hAnsi="仿宋" w:eastAsia="仿宋" w:cs="仿宋"/>
          <w:sz w:val="32"/>
          <w:szCs w:val="32"/>
          <w:lang w:eastAsia="zh-CN"/>
        </w:rPr>
        <w:t>县域高</w:t>
      </w:r>
      <w:r>
        <w:rPr>
          <w:rFonts w:hint="eastAsia" w:ascii="仿宋" w:hAnsi="仿宋" w:eastAsia="仿宋" w:cs="仿宋"/>
          <w:sz w:val="32"/>
          <w:szCs w:val="32"/>
        </w:rPr>
        <w:t>中能否办好直接影响该县发展水平的高低，也直接体现该县教育水平的高低。目前我州共有普通高中40余所，八成以上高中属于县域普通高中，近些年我州普通高中教育教学质量明显提高，但由于基础条件相对薄弱，教育教学质量有待进一步提高。随着教育综合改革不断深化，新高考改革、教育评价改革、高考加分政策改革的到来，特别是适应高考综合改革实施选课走班，我州大多数县域普通高中资源问题更加突出，迫切</w:t>
      </w:r>
      <w:r>
        <w:rPr>
          <w:rFonts w:hint="eastAsia" w:ascii="仿宋" w:hAnsi="仿宋" w:eastAsia="仿宋" w:cs="仿宋"/>
          <w:sz w:val="32"/>
          <w:szCs w:val="32"/>
          <w:lang w:eastAsia="zh-CN"/>
        </w:rPr>
        <w:t>需要</w:t>
      </w:r>
      <w:r>
        <w:rPr>
          <w:rFonts w:hint="eastAsia" w:ascii="仿宋" w:hAnsi="仿宋" w:eastAsia="仿宋" w:cs="仿宋"/>
          <w:sz w:val="32"/>
          <w:szCs w:val="32"/>
        </w:rPr>
        <w:t>加大扶持力度。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我州县域普通高中普遍存在的问题</w:t>
      </w:r>
      <w:r>
        <w:rPr>
          <w:rFonts w:hint="eastAsia" w:ascii="仿宋" w:hAnsi="仿宋" w:eastAsia="仿宋" w:cs="仿宋"/>
          <w:sz w:val="32"/>
          <w:szCs w:val="32"/>
          <w:lang w:eastAsia="zh-CN"/>
        </w:rPr>
        <w:t>：</w:t>
      </w:r>
      <w:r>
        <w:rPr>
          <w:rFonts w:hint="eastAsia" w:ascii="仿宋" w:hAnsi="仿宋" w:eastAsia="仿宋" w:cs="仿宋"/>
          <w:sz w:val="32"/>
          <w:szCs w:val="32"/>
        </w:rPr>
        <w:t>教师队伍老龄化严重，不</w:t>
      </w:r>
      <w:r>
        <w:rPr>
          <w:rFonts w:hint="eastAsia" w:ascii="仿宋" w:hAnsi="仿宋" w:eastAsia="仿宋" w:cs="仿宋"/>
          <w:sz w:val="32"/>
          <w:szCs w:val="32"/>
          <w:lang w:eastAsia="zh-CN"/>
        </w:rPr>
        <w:t>符</w:t>
      </w:r>
      <w:r>
        <w:rPr>
          <w:rFonts w:hint="eastAsia" w:ascii="仿宋" w:hAnsi="仿宋" w:eastAsia="仿宋" w:cs="仿宋"/>
          <w:sz w:val="32"/>
          <w:szCs w:val="32"/>
        </w:rPr>
        <w:t>合教育时代发展要求；学科结构不均衡，跟不上高考改革步伐。近些年我州</w:t>
      </w:r>
      <w:r>
        <w:rPr>
          <w:rFonts w:hint="eastAsia" w:ascii="仿宋" w:hAnsi="仿宋" w:eastAsia="仿宋" w:cs="仿宋"/>
          <w:sz w:val="32"/>
          <w:szCs w:val="32"/>
          <w:lang w:eastAsia="zh-CN"/>
        </w:rPr>
        <w:t>为教育</w:t>
      </w:r>
      <w:r>
        <w:rPr>
          <w:rFonts w:hint="eastAsia" w:ascii="仿宋" w:hAnsi="仿宋" w:eastAsia="仿宋" w:cs="仿宋"/>
          <w:sz w:val="32"/>
          <w:szCs w:val="32"/>
        </w:rPr>
        <w:t>加大人才引进力度，但引进学历条件</w:t>
      </w:r>
      <w:r>
        <w:rPr>
          <w:rFonts w:hint="eastAsia" w:ascii="仿宋" w:hAnsi="仿宋" w:eastAsia="仿宋" w:cs="仿宋"/>
          <w:sz w:val="32"/>
          <w:szCs w:val="32"/>
          <w:lang w:eastAsia="zh-CN"/>
        </w:rPr>
        <w:t>较</w:t>
      </w:r>
      <w:r>
        <w:rPr>
          <w:rFonts w:hint="eastAsia" w:ascii="仿宋" w:hAnsi="仿宋" w:eastAsia="仿宋" w:cs="仿宋"/>
          <w:sz w:val="32"/>
          <w:szCs w:val="32"/>
        </w:rPr>
        <w:t>高</w:t>
      </w:r>
      <w:r>
        <w:rPr>
          <w:rFonts w:hint="eastAsia" w:ascii="仿宋" w:hAnsi="仿宋" w:eastAsia="仿宋" w:cs="仿宋"/>
          <w:sz w:val="32"/>
          <w:szCs w:val="32"/>
          <w:lang w:eastAsia="zh-CN"/>
        </w:rPr>
        <w:t>，基本上要求具有中级以上职称、研究生以上学历，由于县域高中工作条件较差、待遇较低，导致</w:t>
      </w:r>
      <w:r>
        <w:rPr>
          <w:rFonts w:hint="eastAsia" w:ascii="仿宋" w:hAnsi="仿宋" w:eastAsia="仿宋" w:cs="仿宋"/>
          <w:sz w:val="32"/>
          <w:szCs w:val="32"/>
        </w:rPr>
        <w:t>县域中学没有吸引力，不能及时引进需求人才。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从州级层面出台具有指导意义的专门针对县域普通高中教师引进办法，</w:t>
      </w:r>
      <w:r>
        <w:rPr>
          <w:rFonts w:hint="eastAsia" w:ascii="仿宋" w:hAnsi="仿宋" w:eastAsia="仿宋" w:cs="仿宋"/>
          <w:sz w:val="32"/>
          <w:szCs w:val="32"/>
        </w:rPr>
        <w:t>使渠道更加畅通，待遇更加优厚，服务更加周到，管理更加规范，程序更加快捷，机制更加灵活。</w:t>
      </w:r>
      <w:r>
        <w:rPr>
          <w:rFonts w:hint="eastAsia" w:ascii="仿宋" w:hAnsi="仿宋" w:eastAsia="仿宋" w:cs="仿宋"/>
          <w:sz w:val="32"/>
          <w:szCs w:val="32"/>
          <w:lang w:eastAsia="zh-CN"/>
        </w:rPr>
        <w:t>重点</w:t>
      </w:r>
      <w:r>
        <w:rPr>
          <w:rFonts w:hint="eastAsia" w:ascii="仿宋" w:hAnsi="仿宋" w:eastAsia="仿宋" w:cs="仿宋"/>
          <w:sz w:val="32"/>
          <w:szCs w:val="32"/>
        </w:rPr>
        <w:t>引进教育部直属六所师范大学免费师范生</w:t>
      </w:r>
      <w:r>
        <w:rPr>
          <w:rFonts w:hint="eastAsia" w:ascii="仿宋" w:hAnsi="仿宋" w:eastAsia="仿宋" w:cs="仿宋"/>
          <w:sz w:val="32"/>
          <w:szCs w:val="32"/>
          <w:lang w:eastAsia="zh-CN"/>
        </w:rPr>
        <w:t>，</w:t>
      </w:r>
      <w:r>
        <w:rPr>
          <w:rFonts w:hint="eastAsia" w:ascii="仿宋" w:hAnsi="仿宋" w:eastAsia="仿宋" w:cs="仿宋"/>
          <w:sz w:val="32"/>
          <w:szCs w:val="32"/>
        </w:rPr>
        <w:t>211、985重点大学本科</w:t>
      </w:r>
      <w:r>
        <w:rPr>
          <w:rFonts w:hint="eastAsia" w:ascii="仿宋" w:hAnsi="仿宋" w:eastAsia="仿宋" w:cs="仿宋"/>
          <w:sz w:val="32"/>
          <w:szCs w:val="32"/>
          <w:lang w:eastAsia="zh-CN"/>
        </w:rPr>
        <w:t>及以上毕业</w:t>
      </w:r>
      <w:r>
        <w:rPr>
          <w:rFonts w:hint="eastAsia" w:ascii="仿宋" w:hAnsi="仿宋" w:eastAsia="仿宋" w:cs="仿宋"/>
          <w:sz w:val="32"/>
          <w:szCs w:val="32"/>
        </w:rPr>
        <w:t>生</w:t>
      </w:r>
      <w:r>
        <w:rPr>
          <w:rFonts w:hint="eastAsia" w:ascii="仿宋" w:hAnsi="仿宋" w:eastAsia="仿宋" w:cs="仿宋"/>
          <w:sz w:val="32"/>
          <w:szCs w:val="32"/>
          <w:lang w:eastAsia="zh-CN"/>
        </w:rPr>
        <w:t>，</w:t>
      </w:r>
      <w:r>
        <w:rPr>
          <w:rFonts w:hint="eastAsia" w:ascii="仿宋" w:hAnsi="仿宋" w:eastAsia="仿宋" w:cs="仿宋"/>
          <w:sz w:val="32"/>
          <w:szCs w:val="32"/>
        </w:rPr>
        <w:t>加大县</w:t>
      </w:r>
      <w:r>
        <w:rPr>
          <w:rFonts w:hint="eastAsia" w:ascii="仿宋" w:hAnsi="仿宋" w:eastAsia="仿宋" w:cs="仿宋"/>
          <w:sz w:val="32"/>
          <w:szCs w:val="32"/>
          <w:lang w:eastAsia="zh-CN"/>
        </w:rPr>
        <w:t>域普通高</w:t>
      </w:r>
      <w:r>
        <w:rPr>
          <w:rFonts w:hint="eastAsia" w:ascii="仿宋" w:hAnsi="仿宋" w:eastAsia="仿宋" w:cs="仿宋"/>
          <w:sz w:val="32"/>
          <w:szCs w:val="32"/>
        </w:rPr>
        <w:t>中教师补充力度</w:t>
      </w:r>
      <w:r>
        <w:rPr>
          <w:rFonts w:hint="eastAsia" w:ascii="仿宋" w:hAnsi="仿宋" w:eastAsia="仿宋" w:cs="仿宋"/>
          <w:sz w:val="32"/>
          <w:szCs w:val="32"/>
          <w:lang w:eastAsia="zh-CN"/>
        </w:rPr>
        <w:t>。</w:t>
      </w:r>
    </w:p>
    <w:p>
      <w:pPr>
        <w:spacing w:line="560" w:lineRule="exact"/>
        <w:ind w:firstLine="643" w:firstLineChars="200"/>
        <w:rPr>
          <w:rStyle w:val="15"/>
          <w:rFonts w:hint="eastAsia" w:ascii="黑体" w:hAnsi="黑体" w:eastAsia="黑体" w:cs="黑体"/>
          <w:b/>
          <w:bCs/>
          <w:kern w:val="0"/>
          <w:sz w:val="32"/>
          <w:szCs w:val="32"/>
          <w:lang w:val="en-US" w:eastAsia="zh-CN"/>
        </w:rPr>
      </w:pPr>
    </w:p>
    <w:p>
      <w:pPr>
        <w:spacing w:line="560" w:lineRule="exact"/>
        <w:ind w:firstLine="643" w:firstLineChars="200"/>
        <w:rPr>
          <w:rStyle w:val="15"/>
          <w:rFonts w:hint="eastAsia" w:ascii="仿宋" w:hAnsi="仿宋" w:eastAsia="仿宋" w:cs="仿宋"/>
          <w:kern w:val="0"/>
          <w:sz w:val="32"/>
          <w:szCs w:val="32"/>
          <w:lang w:val="en-US" w:eastAsia="zh-CN"/>
        </w:rPr>
      </w:pPr>
      <w:r>
        <w:rPr>
          <w:rStyle w:val="15"/>
          <w:rFonts w:hint="eastAsia" w:ascii="黑体" w:hAnsi="黑体" w:eastAsia="黑体" w:cs="黑体"/>
          <w:b/>
          <w:bCs/>
          <w:kern w:val="0"/>
          <w:sz w:val="32"/>
          <w:szCs w:val="32"/>
          <w:lang w:val="en-US" w:eastAsia="zh-CN"/>
        </w:rPr>
        <w:t>注：</w:t>
      </w:r>
      <w:r>
        <w:rPr>
          <w:rStyle w:val="15"/>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5"/>
          <w:rFonts w:hint="default" w:ascii="仿宋" w:hAnsi="仿宋" w:eastAsia="仿宋" w:cs="仿宋"/>
          <w:kern w:val="0"/>
          <w:sz w:val="32"/>
          <w:szCs w:val="32"/>
          <w:lang w:val="en-US" w:eastAsia="zh-CN"/>
        </w:rPr>
      </w:pPr>
      <w:r>
        <w:rPr>
          <w:rStyle w:val="15"/>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Style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10B40BCC"/>
    <w:rsid w:val="10D10098"/>
    <w:rsid w:val="118823F2"/>
    <w:rsid w:val="137B32C6"/>
    <w:rsid w:val="14846E37"/>
    <w:rsid w:val="18EC1E64"/>
    <w:rsid w:val="195E7F0D"/>
    <w:rsid w:val="1BAB45FA"/>
    <w:rsid w:val="1EE856CA"/>
    <w:rsid w:val="20E366FE"/>
    <w:rsid w:val="21EA0B57"/>
    <w:rsid w:val="248D191F"/>
    <w:rsid w:val="29EB237C"/>
    <w:rsid w:val="2A2E2534"/>
    <w:rsid w:val="2B7407E6"/>
    <w:rsid w:val="2F524655"/>
    <w:rsid w:val="2FD84B80"/>
    <w:rsid w:val="30B878C9"/>
    <w:rsid w:val="33552650"/>
    <w:rsid w:val="377737A4"/>
    <w:rsid w:val="38D60616"/>
    <w:rsid w:val="3A7B4D73"/>
    <w:rsid w:val="3F1A5C90"/>
    <w:rsid w:val="42F10C9F"/>
    <w:rsid w:val="48F75950"/>
    <w:rsid w:val="497C7186"/>
    <w:rsid w:val="4A196944"/>
    <w:rsid w:val="4E80682A"/>
    <w:rsid w:val="4F1E6C2C"/>
    <w:rsid w:val="4F6B5D70"/>
    <w:rsid w:val="507F065A"/>
    <w:rsid w:val="50DD518D"/>
    <w:rsid w:val="5236789E"/>
    <w:rsid w:val="53E915AA"/>
    <w:rsid w:val="543C4552"/>
    <w:rsid w:val="559F1A55"/>
    <w:rsid w:val="5A7C34BF"/>
    <w:rsid w:val="5AA17385"/>
    <w:rsid w:val="5B7C24C8"/>
    <w:rsid w:val="5FC706AB"/>
    <w:rsid w:val="61895CCF"/>
    <w:rsid w:val="65BB23FC"/>
    <w:rsid w:val="66F35DD9"/>
    <w:rsid w:val="6854075C"/>
    <w:rsid w:val="69A37ABB"/>
    <w:rsid w:val="6A2F784C"/>
    <w:rsid w:val="6B07083C"/>
    <w:rsid w:val="6C00509B"/>
    <w:rsid w:val="760D0CD1"/>
    <w:rsid w:val="7C1F064D"/>
    <w:rsid w:val="7FA11A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0"/>
    </w:rPr>
  </w:style>
  <w:style w:type="paragraph" w:styleId="3">
    <w:name w:val="Body Text Indent"/>
    <w:basedOn w:val="1"/>
    <w:next w:val="4"/>
    <w:qFormat/>
    <w:uiPriority w:val="0"/>
    <w:pPr>
      <w:spacing w:after="120"/>
      <w:ind w:left="420" w:leftChars="200"/>
    </w:pPr>
  </w:style>
  <w:style w:type="paragraph" w:styleId="4">
    <w:name w:val="Body Text Indent 2"/>
    <w:basedOn w:val="1"/>
    <w:next w:val="5"/>
    <w:qFormat/>
    <w:uiPriority w:val="0"/>
    <w:pPr>
      <w:spacing w:after="120" w:line="480" w:lineRule="auto"/>
      <w:ind w:left="420" w:leftChars="200"/>
    </w:pPr>
    <w:rPr>
      <w:rFonts w:ascii="Times New Roman" w:hAnsi="Times New Roman"/>
    </w:rPr>
  </w:style>
  <w:style w:type="paragraph" w:styleId="5">
    <w:name w:val="Body Text Indent 3"/>
    <w:basedOn w:val="1"/>
    <w:qFormat/>
    <w:uiPriority w:val="0"/>
    <w:pPr>
      <w:ind w:left="200" w:leftChars="200"/>
    </w:pPr>
    <w:rPr>
      <w:rFonts w:ascii="Times New Roman" w:hAnsi="Times New Roman"/>
      <w:sz w:val="16"/>
    </w:rPr>
  </w:style>
  <w:style w:type="paragraph" w:styleId="6">
    <w:name w:val="footer"/>
    <w:basedOn w:val="1"/>
    <w:link w:val="25"/>
    <w:qFormat/>
    <w:uiPriority w:val="99"/>
    <w:pPr>
      <w:snapToGrid w:val="0"/>
      <w:jc w:val="left"/>
    </w:pPr>
    <w:rPr>
      <w:sz w:val="18"/>
      <w:szCs w:val="18"/>
    </w:rPr>
  </w:style>
  <w:style w:type="paragraph" w:styleId="7">
    <w:name w:val="header"/>
    <w:basedOn w:val="1"/>
    <w:qFormat/>
    <w:uiPriority w:val="0"/>
    <w:pPr>
      <w:pBdr>
        <w:bottom w:val="single" w:color="000000" w:sz="6" w:space="0"/>
      </w:pBdr>
      <w:snapToGrid w:val="0"/>
      <w:jc w:val="center"/>
    </w:pPr>
    <w:rPr>
      <w:sz w:val="18"/>
      <w:szCs w:val="18"/>
    </w:rPr>
  </w:style>
  <w:style w:type="paragraph" w:styleId="8">
    <w:name w:val="Body Text 2"/>
    <w:basedOn w:val="1"/>
    <w:qFormat/>
    <w:uiPriority w:val="0"/>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9">
    <w:name w:val="Normal (Web)"/>
    <w:basedOn w:val="1"/>
    <w:qFormat/>
    <w:uiPriority w:val="0"/>
    <w:pPr>
      <w:spacing w:beforeAutospacing="1" w:afterAutospacing="1"/>
      <w:jc w:val="left"/>
    </w:pPr>
    <w:rPr>
      <w:kern w:val="0"/>
      <w:sz w:val="24"/>
    </w:rPr>
  </w:style>
  <w:style w:type="paragraph" w:styleId="10">
    <w:name w:val="Body Text First Indent 2"/>
    <w:basedOn w:val="3"/>
    <w:next w:val="1"/>
    <w:qFormat/>
    <w:uiPriority w:val="0"/>
    <w:pPr>
      <w:ind w:left="0" w:leftChars="0" w:firstLine="200" w:firstLineChars="200"/>
    </w:pPr>
  </w:style>
  <w:style w:type="character" w:styleId="13">
    <w:name w:val="Strong"/>
    <w:qFormat/>
    <w:uiPriority w:val="0"/>
    <w:rPr>
      <w:rFonts w:cs="Times New Roman"/>
      <w:b/>
      <w:bCs/>
    </w:rPr>
  </w:style>
  <w:style w:type="character" w:styleId="14">
    <w:name w:val="Hyperlink"/>
    <w:basedOn w:val="15"/>
    <w:semiHidden/>
    <w:qFormat/>
    <w:uiPriority w:val="0"/>
    <w:rPr>
      <w:color w:val="0000FF"/>
      <w:u w:val="single"/>
    </w:rPr>
  </w:style>
  <w:style w:type="character" w:customStyle="1" w:styleId="15">
    <w:name w:val="NormalCharacter"/>
    <w:semiHidden/>
    <w:qFormat/>
    <w:uiPriority w:val="0"/>
  </w:style>
  <w:style w:type="paragraph" w:customStyle="1" w:styleId="16">
    <w:name w:val="Heading1"/>
    <w:basedOn w:val="1"/>
    <w:link w:val="22"/>
    <w:qFormat/>
    <w:uiPriority w:val="0"/>
    <w:pPr>
      <w:spacing w:before="100" w:beforeAutospacing="1" w:after="100" w:afterAutospacing="1"/>
      <w:jc w:val="left"/>
    </w:pPr>
    <w:rPr>
      <w:rFonts w:ascii="宋体" w:hAnsi="宋体" w:cs="宋体"/>
      <w:b/>
      <w:bCs/>
      <w:kern w:val="36"/>
      <w:sz w:val="48"/>
      <w:szCs w:val="48"/>
    </w:rPr>
  </w:style>
  <w:style w:type="table" w:customStyle="1" w:styleId="17">
    <w:name w:val="TableNormal"/>
    <w:semiHidden/>
    <w:qFormat/>
    <w:uiPriority w:val="0"/>
    <w:tblPr>
      <w:tblCellMar>
        <w:top w:w="0" w:type="dxa"/>
        <w:left w:w="0" w:type="dxa"/>
        <w:bottom w:w="0" w:type="dxa"/>
        <w:right w:w="0" w:type="dxa"/>
      </w:tblCellMar>
    </w:tblPr>
  </w:style>
  <w:style w:type="paragraph" w:customStyle="1" w:styleId="18">
    <w:name w:val="Acetate"/>
    <w:basedOn w:val="1"/>
    <w:qFormat/>
    <w:uiPriority w:val="0"/>
    <w:rPr>
      <w:sz w:val="18"/>
      <w:szCs w:val="18"/>
    </w:rPr>
  </w:style>
  <w:style w:type="paragraph" w:customStyle="1" w:styleId="19">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0">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1">
    <w:name w:val="UserStyle_2"/>
    <w:basedOn w:val="1"/>
    <w:qFormat/>
    <w:uiPriority w:val="0"/>
    <w:pPr>
      <w:spacing w:before="100" w:beforeAutospacing="1" w:after="100" w:afterAutospacing="1"/>
      <w:jc w:val="left"/>
    </w:pPr>
    <w:rPr>
      <w:rFonts w:ascii="宋体" w:hAnsi="宋体"/>
      <w:kern w:val="0"/>
      <w:sz w:val="24"/>
    </w:rPr>
  </w:style>
  <w:style w:type="character" w:customStyle="1" w:styleId="22">
    <w:name w:val="UserStyle_3"/>
    <w:basedOn w:val="15"/>
    <w:link w:val="16"/>
    <w:qFormat/>
    <w:uiPriority w:val="0"/>
    <w:rPr>
      <w:rFonts w:ascii="宋体" w:hAnsi="宋体" w:cs="宋体"/>
      <w:b/>
      <w:bCs/>
      <w:kern w:val="36"/>
      <w:sz w:val="48"/>
      <w:szCs w:val="48"/>
    </w:rPr>
  </w:style>
  <w:style w:type="character" w:customStyle="1" w:styleId="23">
    <w:name w:val="UserStyle_4"/>
    <w:basedOn w:val="15"/>
    <w:qFormat/>
    <w:uiPriority w:val="0"/>
  </w:style>
  <w:style w:type="paragraph" w:customStyle="1" w:styleId="24">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5">
    <w:name w:val="页脚 Char"/>
    <w:basedOn w:val="12"/>
    <w:link w:val="6"/>
    <w:qFormat/>
    <w:uiPriority w:val="99"/>
    <w:rPr>
      <w:rFonts w:cstheme="minorBidi"/>
      <w:kern w:val="2"/>
      <w:sz w:val="18"/>
      <w:szCs w:val="18"/>
    </w:rPr>
  </w:style>
  <w:style w:type="paragraph" w:customStyle="1" w:styleId="26">
    <w:name w:val="正文-公1"/>
    <w:basedOn w:val="1"/>
    <w:qFormat/>
    <w:uiPriority w:val="99"/>
    <w:pPr>
      <w:ind w:firstLine="200" w:firstLineChars="200"/>
    </w:pPr>
    <w:rPr>
      <w:rFonts w:ascii="Calibri" w:hAnsi="Calibri"/>
    </w:rPr>
  </w:style>
  <w:style w:type="paragraph" w:customStyle="1" w:styleId="27">
    <w:name w:val="Body text|2"/>
    <w:basedOn w:val="1"/>
    <w:qFormat/>
    <w:uiPriority w:val="0"/>
    <w:pPr>
      <w:spacing w:after="300"/>
      <w:ind w:firstLine="74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825</Words>
  <Characters>880</Characters>
  <Lines>14</Lines>
  <Paragraphs>4</Paragraphs>
  <TotalTime>0</TotalTime>
  <ScaleCrop>false</ScaleCrop>
  <LinksUpToDate>false</LinksUpToDate>
  <CharactersWithSpaces>913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2022-01-04T03:21:00Z</cp:lastPrinted>
  <dcterms:modified xsi:type="dcterms:W3CDTF">2022-03-29T06:37:38Z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ED4BEFD7E7DE4F39AD69433F08B9E5C6</vt:lpwstr>
  </property>
</Properties>
</file>