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4"/>
          <w:rFonts w:ascii="黑体" w:eastAsia="黑体"/>
          <w:sz w:val="44"/>
          <w:szCs w:val="44"/>
        </w:rPr>
      </w:pPr>
      <w:r>
        <w:rPr>
          <w:rStyle w:val="12"/>
          <w:rFonts w:ascii="黑体" w:eastAsia="黑体" w:cs="宋体"/>
          <w:sz w:val="44"/>
          <w:szCs w:val="44"/>
        </w:rPr>
        <w:t>中国人民政治协商会议</w:t>
      </w:r>
    </w:p>
    <w:p>
      <w:pPr>
        <w:pStyle w:val="18"/>
        <w:spacing w:before="0" w:beforeAutospacing="0" w:after="0" w:afterAutospacing="0" w:line="600" w:lineRule="exact"/>
        <w:jc w:val="center"/>
        <w:rPr>
          <w:rStyle w:val="14"/>
          <w:rFonts w:hint="eastAsia"/>
          <w:sz w:val="44"/>
          <w:szCs w:val="44"/>
        </w:rPr>
      </w:pPr>
      <w:r>
        <w:rPr>
          <w:rStyle w:val="14"/>
          <w:sz w:val="44"/>
          <w:szCs w:val="44"/>
        </w:rPr>
        <w:t>黔东南苗族侗族自治州委员会</w:t>
      </w:r>
    </w:p>
    <w:p>
      <w:pPr>
        <w:pStyle w:val="18"/>
        <w:spacing w:before="0" w:beforeAutospacing="0" w:after="0" w:afterAutospacing="0" w:line="600" w:lineRule="exact"/>
        <w:jc w:val="center"/>
        <w:rPr>
          <w:rStyle w:val="14"/>
          <w:rFonts w:hint="eastAsia"/>
          <w:sz w:val="44"/>
          <w:szCs w:val="44"/>
        </w:rPr>
      </w:pPr>
      <w:r>
        <w:rPr>
          <w:rStyle w:val="14"/>
          <w:sz w:val="44"/>
          <w:szCs w:val="44"/>
        </w:rPr>
        <w:t>提</w:t>
      </w:r>
      <w:r>
        <w:rPr>
          <w:rStyle w:val="14"/>
          <w:rFonts w:hint="eastAsia"/>
          <w:sz w:val="44"/>
          <w:szCs w:val="44"/>
        </w:rPr>
        <w:t xml:space="preserve">   </w:t>
      </w:r>
      <w:r>
        <w:rPr>
          <w:rStyle w:val="14"/>
          <w:sz w:val="44"/>
          <w:szCs w:val="44"/>
        </w:rPr>
        <w:t>案</w:t>
      </w:r>
    </w:p>
    <w:p>
      <w:pPr>
        <w:spacing w:line="320" w:lineRule="exact"/>
        <w:jc w:val="center"/>
        <w:textAlignment w:val="top"/>
        <w:rPr>
          <w:rStyle w:val="14"/>
          <w:rFonts w:hint="eastAsia" w:ascii="宋体" w:hAnsi="宋体"/>
          <w:kern w:val="0"/>
          <w:sz w:val="24"/>
        </w:rPr>
      </w:pPr>
    </w:p>
    <w:p>
      <w:pPr>
        <w:spacing w:line="320" w:lineRule="exact"/>
        <w:jc w:val="center"/>
        <w:textAlignment w:val="top"/>
        <w:rPr>
          <w:rStyle w:val="14"/>
          <w:rFonts w:hint="eastAsia" w:ascii="宋体" w:hAnsi="宋体"/>
          <w:kern w:val="0"/>
          <w:sz w:val="24"/>
        </w:rPr>
      </w:pPr>
    </w:p>
    <w:p>
      <w:pPr>
        <w:spacing w:line="760" w:lineRule="exact"/>
        <w:jc w:val="both"/>
        <w:textAlignment w:val="top"/>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4"/>
          <w:rFonts w:hint="default" w:ascii="宋体" w:hAnsi="宋体" w:eastAsia="宋体"/>
          <w:kern w:val="0"/>
          <w:sz w:val="24"/>
          <w:lang w:val="en-US" w:eastAsia="zh-CN"/>
        </w:rPr>
      </w:pPr>
      <w:r>
        <w:rPr>
          <w:rStyle w:val="14"/>
          <w:rFonts w:ascii="宋体" w:hAnsi="宋体"/>
          <w:kern w:val="0"/>
          <w:sz w:val="24"/>
        </w:rPr>
        <w:t>第十</w:t>
      </w:r>
      <w:r>
        <w:rPr>
          <w:rStyle w:val="14"/>
          <w:rFonts w:hint="eastAsia" w:ascii="宋体" w:hAnsi="宋体"/>
          <w:kern w:val="0"/>
          <w:sz w:val="24"/>
          <w:lang w:val="en-US" w:eastAsia="zh-CN"/>
        </w:rPr>
        <w:t>三</w:t>
      </w:r>
      <w:r>
        <w:rPr>
          <w:rStyle w:val="14"/>
          <w:rFonts w:ascii="宋体" w:hAnsi="宋体"/>
          <w:kern w:val="0"/>
          <w:sz w:val="24"/>
        </w:rPr>
        <w:t>届第</w:t>
      </w:r>
      <w:r>
        <w:rPr>
          <w:rStyle w:val="14"/>
          <w:rFonts w:hint="eastAsia" w:ascii="宋体" w:hAnsi="宋体"/>
          <w:kern w:val="0"/>
          <w:sz w:val="24"/>
          <w:lang w:val="en-US" w:eastAsia="zh-CN"/>
        </w:rPr>
        <w:t>一</w:t>
      </w:r>
      <w:r>
        <w:rPr>
          <w:rStyle w:val="14"/>
          <w:rFonts w:ascii="宋体" w:hAnsi="宋体"/>
          <w:kern w:val="0"/>
          <w:sz w:val="24"/>
        </w:rPr>
        <w:t>次会议　       　第</w:t>
      </w:r>
      <w:r>
        <w:rPr>
          <w:rStyle w:val="14"/>
          <w:rFonts w:hint="eastAsia" w:ascii="宋体" w:hAnsi="宋体"/>
          <w:kern w:val="0"/>
          <w:sz w:val="24"/>
          <w:lang w:val="en-US" w:eastAsia="zh-CN"/>
        </w:rPr>
        <w:t>135</w:t>
      </w:r>
      <w:r>
        <w:rPr>
          <w:rStyle w:val="14"/>
          <w:rFonts w:ascii="宋体" w:hAnsi="宋体"/>
          <w:kern w:val="0"/>
          <w:sz w:val="24"/>
        </w:rPr>
        <w:t xml:space="preserve">号　    </w:t>
      </w:r>
      <w:r>
        <w:rPr>
          <w:rStyle w:val="14"/>
          <w:rFonts w:hint="eastAsia" w:ascii="宋体" w:hAnsi="宋体"/>
          <w:kern w:val="0"/>
          <w:sz w:val="24"/>
        </w:rPr>
        <w:t xml:space="preserve">    </w:t>
      </w:r>
      <w:r>
        <w:rPr>
          <w:rStyle w:val="14"/>
          <w:rFonts w:hint="eastAsia" w:ascii="宋体" w:hAnsi="宋体"/>
          <w:kern w:val="0"/>
          <w:sz w:val="24"/>
          <w:lang w:val="en-US" w:eastAsia="zh-CN"/>
        </w:rPr>
        <w:t xml:space="preserve"> 类别：经济建设类     </w:t>
      </w:r>
    </w:p>
    <w:p>
      <w:pPr>
        <w:spacing w:line="320" w:lineRule="exact"/>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0"/>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案</w:t>
            </w:r>
            <w:r>
              <w:rPr>
                <w:rStyle w:val="14"/>
                <w:rFonts w:ascii="宋体" w:hAnsi="宋体" w:eastAsia="黑体" w:cs="宋体"/>
                <w:b/>
                <w:bCs/>
                <w:kern w:val="0"/>
                <w:sz w:val="24"/>
              </w:rPr>
              <w:t>  </w:t>
            </w:r>
            <w:r>
              <w:rPr>
                <w:rStyle w:val="14"/>
                <w:rFonts w:ascii="黑体" w:hAnsi="宋体" w:eastAsia="黑体" w:cs="宋体"/>
                <w:b/>
                <w:bCs/>
                <w:kern w:val="0"/>
                <w:sz w:val="24"/>
              </w:rPr>
              <w:t>由</w:t>
            </w:r>
            <w:r>
              <w:rPr>
                <w:rStyle w:val="14"/>
                <w:rFonts w:ascii="宋体" w:hAnsi="宋体" w:cs="宋体"/>
                <w:b/>
                <w:bCs/>
                <w:kern w:val="0"/>
                <w:sz w:val="24"/>
              </w:rPr>
              <w:t>：</w:t>
            </w:r>
          </w:p>
        </w:tc>
        <w:tc>
          <w:tcPr>
            <w:tcW w:w="6797" w:type="dxa"/>
            <w:gridSpan w:val="3"/>
            <w:vAlign w:val="center"/>
          </w:tcPr>
          <w:p>
            <w:pPr>
              <w:jc w:val="left"/>
              <w:rPr>
                <w:rStyle w:val="14"/>
                <w:rFonts w:ascii="宋体" w:hAnsi="宋体" w:cs="宋体"/>
                <w:b/>
                <w:bCs/>
                <w:kern w:val="0"/>
                <w:sz w:val="24"/>
              </w:rPr>
            </w:pPr>
            <w:bookmarkStart w:id="0" w:name="_GoBack"/>
            <w:r>
              <w:rPr>
                <w:rFonts w:hint="eastAsia" w:ascii="Times New Roman" w:hAnsi="Times New Roman" w:eastAsia="宋体" w:cs="Times New Roman"/>
                <w:b/>
                <w:bCs/>
                <w:kern w:val="0"/>
                <w:sz w:val="24"/>
                <w:lang w:val="en-US" w:eastAsia="zh-CN"/>
              </w:rPr>
              <w:t>关于壮大村集体经济助推乡村振兴的建议</w:t>
            </w:r>
            <w:bookmarkEnd w:id="0"/>
          </w:p>
        </w:tc>
      </w:tr>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审查意见</w:t>
            </w:r>
            <w:r>
              <w:rPr>
                <w:rStyle w:val="14"/>
                <w:rFonts w:ascii="宋体" w:hAnsi="宋体" w:cs="宋体"/>
                <w:b/>
                <w:bCs/>
                <w:kern w:val="0"/>
                <w:sz w:val="24"/>
              </w:rPr>
              <w:t>：</w:t>
            </w:r>
          </w:p>
        </w:tc>
        <w:tc>
          <w:tcPr>
            <w:tcW w:w="6797" w:type="dxa"/>
            <w:gridSpan w:val="3"/>
            <w:vAlign w:val="center"/>
          </w:tcPr>
          <w:p>
            <w:pPr>
              <w:jc w:val="left"/>
              <w:rPr>
                <w:rStyle w:val="14"/>
                <w:rFonts w:hint="default" w:ascii="宋体" w:hAnsi="宋体"/>
                <w:kern w:val="0"/>
                <w:sz w:val="24"/>
                <w:lang w:val="en-US" w:eastAsia="zh-CN"/>
              </w:rPr>
            </w:pPr>
            <w:r>
              <w:rPr>
                <w:rStyle w:val="14"/>
                <w:rFonts w:hint="eastAsia" w:ascii="宋体" w:hAnsi="宋体"/>
                <w:kern w:val="0"/>
                <w:sz w:val="24"/>
                <w:lang w:eastAsia="zh-CN"/>
              </w:rPr>
              <w:t>主办：州农业农村局</w:t>
            </w:r>
            <w:r>
              <w:rPr>
                <w:rStyle w:val="14"/>
                <w:rFonts w:hint="eastAsia" w:ascii="宋体" w:hAnsi="宋体"/>
                <w:kern w:val="0"/>
                <w:sz w:val="24"/>
                <w:lang w:val="en-US" w:eastAsia="zh-CN"/>
              </w:rPr>
              <w:t xml:space="preserve">    会办：州金融办、州供销社</w:t>
            </w:r>
          </w:p>
        </w:tc>
      </w:tr>
      <w:tr>
        <w:tblPrEx>
          <w:tblCellMar>
            <w:top w:w="0" w:type="dxa"/>
            <w:left w:w="15" w:type="dxa"/>
            <w:bottom w:w="0" w:type="dxa"/>
            <w:right w:w="15" w:type="dxa"/>
          </w:tblCellMar>
        </w:tblPrEx>
        <w:tc>
          <w:tcPr>
            <w:tcW w:w="1753" w:type="dxa"/>
            <w:vAlign w:val="center"/>
          </w:tcPr>
          <w:p>
            <w:pPr>
              <w:jc w:val="left"/>
              <w:rPr>
                <w:rStyle w:val="14"/>
                <w:rFonts w:ascii="黑体" w:hAnsi="宋体" w:eastAsia="黑体"/>
                <w:kern w:val="0"/>
                <w:sz w:val="24"/>
              </w:rPr>
            </w:pPr>
            <w:r>
              <w:rPr>
                <w:rStyle w:val="14"/>
                <w:rFonts w:ascii="黑体" w:hAnsi="宋体" w:eastAsia="黑体" w:cs="宋体"/>
                <w:b/>
                <w:bCs/>
                <w:kern w:val="0"/>
                <w:sz w:val="24"/>
              </w:rPr>
              <w:t>提</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案</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人</w:t>
            </w:r>
            <w:r>
              <w:rPr>
                <w:rStyle w:val="14"/>
                <w:rFonts w:ascii="宋体" w:hAnsi="宋体" w:eastAsia="黑体" w:cs="宋体"/>
                <w:b/>
                <w:bCs/>
                <w:kern w:val="0"/>
                <w:sz w:val="24"/>
              </w:rPr>
              <w:t>：</w:t>
            </w:r>
          </w:p>
        </w:tc>
        <w:tc>
          <w:tcPr>
            <w:tcW w:w="3872" w:type="dxa"/>
            <w:vAlign w:val="center"/>
          </w:tcPr>
          <w:p>
            <w:pPr>
              <w:jc w:val="left"/>
              <w:rPr>
                <w:rStyle w:val="14"/>
                <w:rFonts w:ascii="宋体" w:hAnsi="宋体"/>
                <w:kern w:val="0"/>
                <w:sz w:val="24"/>
              </w:rPr>
            </w:pPr>
            <w:r>
              <w:rPr>
                <w:rStyle w:val="14"/>
                <w:rFonts w:ascii="宋体" w:hAnsi="宋体" w:cs="宋体"/>
                <w:b/>
                <w:bCs/>
                <w:kern w:val="0"/>
                <w:sz w:val="24"/>
              </w:rPr>
              <w:t>通讯地址</w:t>
            </w:r>
          </w:p>
        </w:tc>
        <w:tc>
          <w:tcPr>
            <w:tcW w:w="1440" w:type="dxa"/>
            <w:vAlign w:val="center"/>
          </w:tcPr>
          <w:p>
            <w:pPr>
              <w:jc w:val="left"/>
              <w:rPr>
                <w:rStyle w:val="14"/>
                <w:rFonts w:ascii="宋体" w:hAnsi="宋体"/>
                <w:kern w:val="0"/>
                <w:sz w:val="24"/>
              </w:rPr>
            </w:pPr>
            <w:r>
              <w:rPr>
                <w:rStyle w:val="14"/>
                <w:rFonts w:ascii="宋体" w:hAnsi="宋体" w:cs="宋体"/>
                <w:b/>
                <w:bCs/>
                <w:kern w:val="0"/>
                <w:sz w:val="24"/>
              </w:rPr>
              <w:t>邮政编码</w:t>
            </w:r>
          </w:p>
        </w:tc>
        <w:tc>
          <w:tcPr>
            <w:tcW w:w="1485" w:type="dxa"/>
            <w:vAlign w:val="center"/>
          </w:tcPr>
          <w:p>
            <w:pPr>
              <w:jc w:val="left"/>
              <w:rPr>
                <w:rStyle w:val="14"/>
                <w:rFonts w:ascii="宋体" w:hAnsi="宋体"/>
                <w:kern w:val="0"/>
                <w:sz w:val="24"/>
              </w:rPr>
            </w:pPr>
            <w:r>
              <w:rPr>
                <w:rStyle w:val="14"/>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4"/>
                <w:rFonts w:hint="eastAsia" w:ascii="宋体" w:hAnsi="宋体" w:eastAsia="宋体"/>
                <w:kern w:val="0"/>
                <w:sz w:val="24"/>
                <w:lang w:eastAsia="zh-CN"/>
              </w:rPr>
            </w:pPr>
            <w:r>
              <w:rPr>
                <w:rFonts w:hint="eastAsia"/>
                <w:lang w:eastAsia="zh-CN"/>
              </w:rPr>
              <w:t>吴帆</w:t>
            </w:r>
          </w:p>
        </w:tc>
        <w:tc>
          <w:tcPr>
            <w:tcW w:w="3872" w:type="dxa"/>
            <w:vAlign w:val="center"/>
          </w:tcPr>
          <w:p>
            <w:pPr>
              <w:jc w:val="left"/>
              <w:rPr>
                <w:rStyle w:val="14"/>
                <w:rFonts w:hint="default" w:ascii="宋体" w:hAnsi="宋体" w:eastAsia="宋体"/>
                <w:kern w:val="0"/>
                <w:sz w:val="24"/>
                <w:lang w:val="en-US" w:eastAsia="zh-CN"/>
              </w:rPr>
            </w:pPr>
            <w:r>
              <w:rPr>
                <w:rFonts w:hint="eastAsia" w:cs="Times New Roman"/>
                <w:kern w:val="0"/>
                <w:sz w:val="24"/>
                <w:lang w:eastAsia="zh-CN"/>
              </w:rPr>
              <w:t>从江县丙妹镇江东南路</w:t>
            </w:r>
          </w:p>
        </w:tc>
        <w:tc>
          <w:tcPr>
            <w:tcW w:w="1440"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rPr>
              <w:t>55</w:t>
            </w:r>
            <w:r>
              <w:rPr>
                <w:rStyle w:val="14"/>
                <w:rFonts w:hint="eastAsia" w:ascii="宋体" w:hAnsi="宋体"/>
                <w:kern w:val="0"/>
                <w:sz w:val="24"/>
                <w:lang w:val="en-US" w:eastAsia="zh-CN"/>
              </w:rPr>
              <w:t>7400</w:t>
            </w:r>
          </w:p>
        </w:tc>
        <w:tc>
          <w:tcPr>
            <w:tcW w:w="1485"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lang w:val="en-US" w:eastAsia="zh-CN"/>
              </w:rPr>
              <w:t>13985814487</w:t>
            </w:r>
          </w:p>
        </w:tc>
      </w:tr>
      <w:tr>
        <w:tblPrEx>
          <w:tblCellMar>
            <w:top w:w="0" w:type="dxa"/>
            <w:left w:w="15" w:type="dxa"/>
            <w:bottom w:w="0" w:type="dxa"/>
            <w:right w:w="15" w:type="dxa"/>
          </w:tblCellMar>
        </w:tblPrEx>
        <w:tc>
          <w:tcPr>
            <w:tcW w:w="1753" w:type="dxa"/>
            <w:vAlign w:val="center"/>
          </w:tcPr>
          <w:p>
            <w:pPr>
              <w:jc w:val="left"/>
              <w:rPr>
                <w:rStyle w:val="14"/>
                <w:rFonts w:hint="eastAsia" w:ascii="宋体" w:hAnsi="宋体" w:eastAsia="宋体"/>
                <w:kern w:val="0"/>
                <w:sz w:val="24"/>
                <w:lang w:eastAsia="zh-CN"/>
              </w:rPr>
            </w:pPr>
            <w:r>
              <w:rPr>
                <w:rStyle w:val="14"/>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4"/>
                <w:rFonts w:hint="eastAsia" w:ascii="宋体" w:hAnsi="宋体"/>
                <w:kern w:val="0"/>
                <w:sz w:val="24"/>
                <w:lang w:val="en-US" w:eastAsia="zh-CN"/>
              </w:rPr>
            </w:pPr>
            <w:r>
              <w:rPr>
                <w:rStyle w:val="14"/>
                <w:rFonts w:hint="eastAsia" w:ascii="宋体" w:hAnsi="宋体"/>
                <w:kern w:val="0"/>
                <w:sz w:val="24"/>
                <w:lang w:eastAsia="zh-CN"/>
              </w:rPr>
              <w:t>州委办秘书五科：</w:t>
            </w:r>
            <w:r>
              <w:rPr>
                <w:rStyle w:val="14"/>
                <w:rFonts w:hint="eastAsia" w:ascii="宋体" w:hAnsi="宋体"/>
                <w:kern w:val="0"/>
                <w:sz w:val="24"/>
                <w:lang w:val="en-US" w:eastAsia="zh-CN"/>
              </w:rPr>
              <w:t>8270060；</w:t>
            </w:r>
            <w:r>
              <w:rPr>
                <w:rStyle w:val="14"/>
                <w:rFonts w:hint="eastAsia" w:ascii="宋体" w:hAnsi="宋体"/>
                <w:kern w:val="0"/>
                <w:sz w:val="24"/>
                <w:lang w:eastAsia="zh-CN"/>
              </w:rPr>
              <w:t>州政府办建议提案科：</w:t>
            </w:r>
            <w:r>
              <w:rPr>
                <w:rStyle w:val="14"/>
                <w:rFonts w:hint="eastAsia" w:ascii="宋体" w:hAnsi="宋体"/>
                <w:kern w:val="0"/>
                <w:sz w:val="24"/>
                <w:lang w:val="en-US" w:eastAsia="zh-CN"/>
              </w:rPr>
              <w:t>8260016；</w:t>
            </w:r>
          </w:p>
          <w:p>
            <w:pPr>
              <w:jc w:val="left"/>
              <w:rPr>
                <w:rStyle w:val="14"/>
                <w:rFonts w:hint="default" w:ascii="宋体" w:hAnsi="宋体"/>
                <w:kern w:val="0"/>
                <w:sz w:val="24"/>
                <w:lang w:val="en-US"/>
              </w:rPr>
            </w:pPr>
            <w:r>
              <w:rPr>
                <w:rStyle w:val="14"/>
                <w:rFonts w:hint="eastAsia" w:ascii="宋体" w:hAnsi="宋体"/>
                <w:kern w:val="0"/>
                <w:sz w:val="24"/>
                <w:lang w:eastAsia="zh-CN"/>
              </w:rPr>
              <w:t>州政协提案委：</w:t>
            </w:r>
            <w:r>
              <w:rPr>
                <w:rStyle w:val="14"/>
                <w:rFonts w:hint="eastAsia" w:ascii="宋体" w:hAnsi="宋体"/>
                <w:kern w:val="0"/>
                <w:sz w:val="24"/>
                <w:lang w:val="en-US" w:eastAsia="zh-CN"/>
              </w:rPr>
              <w:t>8428866</w:t>
            </w:r>
            <w:r>
              <w:rPr>
                <w:rStyle w:val="14"/>
                <w:rFonts w:hint="eastAsia" w:ascii="宋体" w:hAnsi="宋体"/>
                <w:kern w:val="0"/>
                <w:sz w:val="24"/>
                <w:lang w:eastAsia="zh-CN"/>
              </w:rPr>
              <w:t>。</w:t>
            </w:r>
          </w:p>
        </w:tc>
      </w:tr>
    </w:tbl>
    <w:p>
      <w:pPr>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内容和办法</w:t>
      </w:r>
      <w:r>
        <w:rPr>
          <w:rStyle w:val="14"/>
          <w:rFonts w:hint="eastAsia" w:ascii="仿宋_GB2312" w:hAnsi="宋体" w:eastAsia="仿宋_GB2312"/>
          <w:kern w:val="0"/>
          <w:sz w:val="32"/>
          <w:szCs w:val="32"/>
          <w:lang w:eastAsia="zh-CN"/>
        </w:rPr>
        <w:t>：</w:t>
      </w:r>
    </w:p>
    <w:p>
      <w:pPr>
        <w:spacing w:line="560" w:lineRule="exact"/>
        <w:ind w:left="0" w:leftChars="0" w:firstLine="640" w:firstLineChars="200"/>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农村集体经济组织是巩固脱贫成果的重要手段，是推进乡村振兴的有效抓手。如今有相当数量的村集体经济缺乏经济实力，表现为收入少、债务多、负担重，长此以往，必然影响农村基层组织的凝聚力和战斗力。另外，管理能力弱、抗风险能力差也是村集体经济长期以来面临较为突出的问题，部分村组干在经营过程中不想抓、不会抓、不愿抓的现象普遍存在，部分村民对发展村集体经济认识不足，自主参与的积极性不高。推进农村集体经营体制改革，发展壮大集体经济，成为当前农村经济政策实践探索的一个主要方向和推进乡村振兴战略顺利实施一个亟待解决的问题。农信社作为长期服务三农、支持县域经济发展的金融主力军，大力实施以人为核心的普惠金融，有覆盖全省各乡镇的独特优势，应主动承担更大的社会责任，与党委政府共同发力，大力支持村级集体经济发展，有效巩固脱贫攻坚成果，全面推进乡村振兴。</w:t>
      </w:r>
    </w:p>
    <w:p>
      <w:pPr>
        <w:spacing w:line="560" w:lineRule="exact"/>
        <w:ind w:left="0" w:leftChars="0" w:firstLine="640" w:firstLineChars="200"/>
        <w:rPr>
          <w:rStyle w:val="14"/>
          <w:rFonts w:hint="eastAsia" w:ascii="仿宋_GB2312" w:hAnsi="宋体" w:eastAsia="仿宋_GB2312"/>
          <w:kern w:val="0"/>
          <w:sz w:val="32"/>
          <w:szCs w:val="32"/>
          <w:lang w:eastAsia="zh-CN"/>
        </w:rPr>
      </w:pPr>
      <w:r>
        <w:rPr>
          <w:rStyle w:val="14"/>
          <w:rFonts w:hint="eastAsia" w:ascii="仿宋_GB2312" w:hAnsi="宋体" w:eastAsia="仿宋_GB2312"/>
          <w:kern w:val="0"/>
          <w:sz w:val="32"/>
          <w:szCs w:val="32"/>
        </w:rPr>
        <w:t>建议</w:t>
      </w:r>
      <w:r>
        <w:rPr>
          <w:rStyle w:val="14"/>
          <w:rFonts w:hint="eastAsia" w:ascii="仿宋_GB2312" w:hAnsi="宋体" w:eastAsia="仿宋_GB2312"/>
          <w:kern w:val="0"/>
          <w:sz w:val="32"/>
          <w:szCs w:val="32"/>
          <w:lang w:eastAsia="zh-CN"/>
        </w:rPr>
        <w:t>：</w:t>
      </w:r>
    </w:p>
    <w:p>
      <w:pPr>
        <w:spacing w:line="560" w:lineRule="exact"/>
        <w:ind w:left="0" w:leftChars="0" w:firstLine="640" w:firstLineChars="200"/>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一）政府方面。一是盘活闲置土地资源。我州土地面积3028234.11公顷，其中耕地占14.12%、林地占67.44%，在最大限度保护生态资源的基础上，可通过充分利用、盘活现有土地资源，将得天独厚的生态“资源”变成“资产”、“资产”变成“资金”，同时规范土地流转，发挥村集体主体作用，杜绝私下大面积流转，对于流转得到的收入，由村集体实行再次分配，着力保障村民收入。二是加强特色产业带动。要实现强村富民，最主要还是靠产业发展。我州由于受地形限制，多数县份的产业发展未能形成规模。应在用活各级各类扶持政策下，因地制宜，进一步挖掘全州特色产业，结合我州独有的苗侗旅游文化资源，重点打造集体农家乐、集体果园、集体加工中心等，由政府引导进行市场规范化运作。三是提升村民参与积极性。壮大村集体经济，主要靠村镇，关键靠村民。鼓励农户以自有土地承包经营权，通过入股的方式保障村民分红收益。通过加大政策宣传引导、畅通产销结合渠道、放宽村集体经济经营范围、发挥致富能人带动效应、实行“多元化”经营等方式，提升村民自主参与意识，只要符合集体经营基本特征的，鼓励大胆探索。四是建立以奖代补机制。聚焦村级特色资源、优势产业等，结合村级人口数量、经济规模、村集体经营状况等制定相关考评标准，按照完成质效进行星级或等级评定，并通过以奖代补的方式表彰到村、分配到个人，进一步激活经营主体发展动能，充分调动群众积极性，让他们更加重视乡村规划、乡村建设。</w:t>
      </w:r>
    </w:p>
    <w:p>
      <w:pPr>
        <w:spacing w:line="560" w:lineRule="exact"/>
        <w:ind w:left="0" w:leftChars="0" w:firstLine="640" w:firstLineChars="200"/>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二）银行方面。一是构建绿色金融服务体系。实现“双碳”目标是党中央着眼全局做出的战略决策。作为服务地方经济发展的金融主力军，农信社应做好绿色金融发展规划，加快绿色信贷产品创新，加大绿色贷款投放力度，推出更多可推广、可复制、可持续的绿色金融产品，重点支持一批信用示范企业、示范农场、示范特色产业，全力满足村集体经济发展的合理资金需求。二是发挥党建联盟带动效应。以“党建+金融”服务模式，加强党组织的互联互动，推动社会治理重心向基层下移，推行“支部+村集体组织”共管模式，结合村经济发展特点，选准主导产业，推广“基层党建+农村信用工程+村级集体经济组织+农户”的模式，积极支持村级集体经济发展。三是金融赋能村级管理升级。积极推进“三社联建”试点工作，充分发挥金融助理履行基础信息采集、金融知识普及、信贷资金支持、特殊群体服务、产业指导扶持、联合培养农村生产经营性人才等方面的作用，帮助村规范政务、村务和财务，以金融赋能村级管理更加规范、效应更加明显。</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4"/>
          <w:rFonts w:hint="default"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qFormat/>
    <w:uiPriority w:val="0"/>
    <w:pPr>
      <w:ind w:firstLine="420" w:firstLineChars="200"/>
    </w:pPr>
    <w:rPr>
      <w:rFonts w:ascii="Calibri" w:hAnsi="Calibri" w:eastAsia="宋体" w:cs="宋体"/>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spacing w:after="120" w:line="480" w:lineRule="auto"/>
      <w:ind w:left="420" w:leftChars="200"/>
    </w:pPr>
  </w:style>
  <w:style w:type="paragraph" w:styleId="5">
    <w:name w:val="Body Text Indent 3"/>
    <w:basedOn w:val="1"/>
    <w:qFormat/>
    <w:uiPriority w:val="99"/>
    <w:pPr>
      <w:ind w:left="200" w:leftChars="200"/>
    </w:pPr>
    <w:rPr>
      <w:sz w:val="16"/>
    </w:rPr>
  </w:style>
  <w:style w:type="paragraph" w:styleId="6">
    <w:name w:val="table of authorities"/>
    <w:basedOn w:val="1"/>
    <w:next w:val="1"/>
    <w:qFormat/>
    <w:uiPriority w:val="0"/>
    <w:pPr>
      <w:ind w:left="420" w:leftChars="200"/>
    </w:pPr>
    <w:rPr>
      <w:szCs w:val="20"/>
    </w:rPr>
  </w:style>
  <w:style w:type="paragraph" w:styleId="7">
    <w:name w:val="footer"/>
    <w:basedOn w:val="1"/>
    <w:link w:val="24"/>
    <w:qFormat/>
    <w:uiPriority w:val="99"/>
    <w:pPr>
      <w:snapToGrid w:val="0"/>
      <w:jc w:val="left"/>
    </w:pPr>
    <w:rPr>
      <w:sz w:val="18"/>
      <w:szCs w:val="18"/>
    </w:rPr>
  </w:style>
  <w:style w:type="paragraph" w:styleId="8">
    <w:name w:val="header"/>
    <w:basedOn w:val="1"/>
    <w:qFormat/>
    <w:uiPriority w:val="0"/>
    <w:pPr>
      <w:pBdr>
        <w:bottom w:val="single" w:color="000000" w:sz="6" w:space="0"/>
      </w:pBdr>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qFormat/>
    <w:uiPriority w:val="0"/>
    <w:rPr>
      <w:rFonts w:cs="Times New Roman"/>
      <w:b/>
      <w:bCs/>
    </w:rPr>
  </w:style>
  <w:style w:type="character" w:styleId="13">
    <w:name w:val="Hyperlink"/>
    <w:basedOn w:val="14"/>
    <w:semiHidden/>
    <w:qFormat/>
    <w:uiPriority w:val="0"/>
    <w:rPr>
      <w:color w:val="0000FF"/>
      <w:u w:val="single"/>
    </w:rPr>
  </w:style>
  <w:style w:type="character" w:customStyle="1" w:styleId="14">
    <w:name w:val="NormalCharacter"/>
    <w:semiHidden/>
    <w:qFormat/>
    <w:uiPriority w:val="0"/>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4"/>
    <w:link w:val="15"/>
    <w:qFormat/>
    <w:uiPriority w:val="0"/>
    <w:rPr>
      <w:rFonts w:ascii="宋体" w:hAnsi="宋体" w:cs="宋体"/>
      <w:b/>
      <w:bCs/>
      <w:kern w:val="36"/>
      <w:sz w:val="48"/>
      <w:szCs w:val="48"/>
    </w:rPr>
  </w:style>
  <w:style w:type="character" w:customStyle="1" w:styleId="22">
    <w:name w:val="UserStyle_4"/>
    <w:basedOn w:val="14"/>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1"/>
    <w:link w:val="7"/>
    <w:qFormat/>
    <w:uiPriority w:val="99"/>
    <w:rPr>
      <w:rFonts w:cstheme="minorBidi"/>
      <w:kern w:val="2"/>
      <w:sz w:val="18"/>
      <w:szCs w:val="18"/>
    </w:rPr>
  </w:style>
  <w:style w:type="paragraph" w:customStyle="1" w:styleId="25">
    <w:name w:val="正文-公1"/>
    <w:basedOn w:val="1"/>
    <w:qFormat/>
    <w:uiPriority w:val="99"/>
    <w:pPr>
      <w:ind w:firstLine="200" w:firstLineChars="200"/>
    </w:pPr>
    <w:rPr>
      <w:rFonts w:ascii="Calibri" w:hAnsi="Calibri"/>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27">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2021-02-26T10:55:00Z</cp:lastPrinted>
  <dcterms:modified xsi:type="dcterms:W3CDTF">2022-01-05T16:42:48Z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