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after="0" w:afterAutospacing="0" w:line="600" w:lineRule="exact"/>
        <w:jc w:val="center"/>
        <w:rPr>
          <w:rStyle w:val="18"/>
          <w:rFonts w:ascii="黑体" w:eastAsia="黑体"/>
          <w:sz w:val="44"/>
          <w:szCs w:val="44"/>
        </w:rPr>
      </w:pPr>
      <w:r>
        <w:rPr>
          <w:rStyle w:val="16"/>
          <w:rFonts w:ascii="黑体" w:eastAsia="黑体" w:cs="宋体"/>
          <w:sz w:val="44"/>
          <w:szCs w:val="44"/>
        </w:rPr>
        <w:t>中国人民政治协商会议</w:t>
      </w:r>
    </w:p>
    <w:p>
      <w:pPr>
        <w:pStyle w:val="22"/>
        <w:spacing w:before="0" w:beforeAutospacing="0" w:after="0" w:afterAutospacing="0" w:line="600" w:lineRule="exact"/>
        <w:jc w:val="center"/>
        <w:rPr>
          <w:rStyle w:val="18"/>
          <w:rFonts w:hint="eastAsia"/>
          <w:sz w:val="44"/>
          <w:szCs w:val="44"/>
        </w:rPr>
      </w:pPr>
      <w:r>
        <w:rPr>
          <w:rStyle w:val="18"/>
          <w:sz w:val="44"/>
          <w:szCs w:val="44"/>
        </w:rPr>
        <w:t>黔东南苗族侗族自治州委员会</w:t>
      </w:r>
    </w:p>
    <w:p>
      <w:pPr>
        <w:pStyle w:val="22"/>
        <w:spacing w:before="0" w:beforeAutospacing="0" w:after="0" w:afterAutospacing="0" w:line="600" w:lineRule="exact"/>
        <w:jc w:val="center"/>
        <w:rPr>
          <w:rStyle w:val="18"/>
          <w:rFonts w:hint="eastAsia"/>
          <w:sz w:val="44"/>
          <w:szCs w:val="44"/>
        </w:rPr>
      </w:pPr>
      <w:r>
        <w:rPr>
          <w:rStyle w:val="18"/>
          <w:sz w:val="44"/>
          <w:szCs w:val="44"/>
        </w:rPr>
        <w:t>提</w:t>
      </w:r>
      <w:r>
        <w:rPr>
          <w:rStyle w:val="18"/>
          <w:rFonts w:hint="eastAsia"/>
          <w:sz w:val="44"/>
          <w:szCs w:val="44"/>
        </w:rPr>
        <w:t xml:space="preserve">   </w:t>
      </w:r>
      <w:r>
        <w:rPr>
          <w:rStyle w:val="18"/>
          <w:sz w:val="44"/>
          <w:szCs w:val="44"/>
        </w:rPr>
        <w:t>案</w:t>
      </w:r>
    </w:p>
    <w:p>
      <w:pPr>
        <w:spacing w:line="320" w:lineRule="exact"/>
        <w:jc w:val="center"/>
        <w:textAlignment w:val="top"/>
        <w:rPr>
          <w:rStyle w:val="18"/>
          <w:rFonts w:hint="eastAsia" w:ascii="宋体" w:hAnsi="宋体"/>
          <w:kern w:val="0"/>
          <w:sz w:val="24"/>
        </w:rPr>
      </w:pPr>
    </w:p>
    <w:p>
      <w:pPr>
        <w:spacing w:line="320" w:lineRule="exact"/>
        <w:jc w:val="center"/>
        <w:textAlignment w:val="top"/>
        <w:rPr>
          <w:rStyle w:val="18"/>
          <w:rFonts w:hint="eastAsia" w:ascii="宋体" w:hAnsi="宋体"/>
          <w:kern w:val="0"/>
          <w:sz w:val="24"/>
        </w:rPr>
      </w:pPr>
    </w:p>
    <w:p>
      <w:pPr>
        <w:spacing w:line="760" w:lineRule="exact"/>
        <w:jc w:val="both"/>
        <w:textAlignment w:val="top"/>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8"/>
          <w:rFonts w:hint="default" w:ascii="宋体" w:hAnsi="宋体" w:eastAsia="宋体"/>
          <w:kern w:val="0"/>
          <w:sz w:val="24"/>
          <w:lang w:val="en-US" w:eastAsia="zh-CN"/>
        </w:rPr>
      </w:pPr>
      <w:r>
        <w:rPr>
          <w:rStyle w:val="18"/>
          <w:rFonts w:ascii="宋体" w:hAnsi="宋体"/>
          <w:kern w:val="0"/>
          <w:sz w:val="24"/>
        </w:rPr>
        <w:t>第十</w:t>
      </w:r>
      <w:r>
        <w:rPr>
          <w:rStyle w:val="18"/>
          <w:rFonts w:hint="eastAsia" w:ascii="宋体" w:hAnsi="宋体"/>
          <w:kern w:val="0"/>
          <w:sz w:val="24"/>
          <w:lang w:val="en-US" w:eastAsia="zh-CN"/>
        </w:rPr>
        <w:t>三</w:t>
      </w:r>
      <w:r>
        <w:rPr>
          <w:rStyle w:val="18"/>
          <w:rFonts w:ascii="宋体" w:hAnsi="宋体"/>
          <w:kern w:val="0"/>
          <w:sz w:val="24"/>
        </w:rPr>
        <w:t>届第</w:t>
      </w:r>
      <w:r>
        <w:rPr>
          <w:rStyle w:val="18"/>
          <w:rFonts w:hint="eastAsia" w:ascii="宋体" w:hAnsi="宋体"/>
          <w:kern w:val="0"/>
          <w:sz w:val="24"/>
          <w:lang w:val="en-US" w:eastAsia="zh-CN"/>
        </w:rPr>
        <w:t>一</w:t>
      </w:r>
      <w:r>
        <w:rPr>
          <w:rStyle w:val="18"/>
          <w:rFonts w:ascii="宋体" w:hAnsi="宋体"/>
          <w:kern w:val="0"/>
          <w:sz w:val="24"/>
        </w:rPr>
        <w:t>次会议　       　第</w:t>
      </w:r>
      <w:r>
        <w:rPr>
          <w:rStyle w:val="18"/>
          <w:rFonts w:hint="eastAsia" w:ascii="宋体" w:hAnsi="宋体"/>
          <w:kern w:val="0"/>
          <w:sz w:val="24"/>
          <w:lang w:val="en-US"/>
        </w:rPr>
        <w:t>164</w:t>
      </w:r>
      <w:r>
        <w:rPr>
          <w:rStyle w:val="18"/>
          <w:rFonts w:ascii="宋体" w:hAnsi="宋体"/>
          <w:kern w:val="0"/>
          <w:sz w:val="24"/>
        </w:rPr>
        <w:t xml:space="preserve">号　    </w:t>
      </w:r>
      <w:r>
        <w:rPr>
          <w:rStyle w:val="18"/>
          <w:rFonts w:hint="eastAsia" w:ascii="宋体" w:hAnsi="宋体"/>
          <w:kern w:val="0"/>
          <w:sz w:val="24"/>
        </w:rPr>
        <w:t xml:space="preserve">    </w:t>
      </w:r>
      <w:r>
        <w:rPr>
          <w:rStyle w:val="18"/>
          <w:rFonts w:hint="eastAsia" w:ascii="宋体" w:hAnsi="宋体"/>
          <w:kern w:val="0"/>
          <w:sz w:val="24"/>
          <w:lang w:val="en-US" w:eastAsia="zh-CN"/>
        </w:rPr>
        <w:t xml:space="preserve"> 类别：经济建设类     </w:t>
      </w:r>
    </w:p>
    <w:p>
      <w:pPr>
        <w:spacing w:line="320" w:lineRule="exact"/>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4"/>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案</w:t>
            </w:r>
            <w:r>
              <w:rPr>
                <w:rStyle w:val="18"/>
                <w:rFonts w:ascii="宋体" w:hAnsi="宋体" w:eastAsia="黑体" w:cs="宋体"/>
                <w:b/>
                <w:bCs/>
                <w:kern w:val="0"/>
                <w:sz w:val="24"/>
              </w:rPr>
              <w:t>  </w:t>
            </w:r>
            <w:r>
              <w:rPr>
                <w:rStyle w:val="18"/>
                <w:rFonts w:ascii="黑体" w:hAnsi="宋体" w:eastAsia="黑体" w:cs="宋体"/>
                <w:b/>
                <w:bCs/>
                <w:kern w:val="0"/>
                <w:sz w:val="24"/>
              </w:rPr>
              <w:t>由</w:t>
            </w:r>
            <w:r>
              <w:rPr>
                <w:rStyle w:val="18"/>
                <w:rFonts w:ascii="宋体" w:hAnsi="宋体" w:cs="宋体"/>
                <w:b/>
                <w:bCs/>
                <w:kern w:val="0"/>
                <w:sz w:val="24"/>
              </w:rPr>
              <w:t>：</w:t>
            </w:r>
          </w:p>
        </w:tc>
        <w:tc>
          <w:tcPr>
            <w:tcW w:w="6797" w:type="dxa"/>
            <w:gridSpan w:val="3"/>
            <w:vAlign w:val="center"/>
          </w:tcPr>
          <w:p>
            <w:pPr>
              <w:jc w:val="both"/>
              <w:textAlignment w:val="baseline"/>
              <w:rPr>
                <w:rStyle w:val="18"/>
                <w:rFonts w:ascii="宋体" w:hAnsi="宋体" w:cs="宋体"/>
                <w:b/>
                <w:bCs/>
                <w:kern w:val="0"/>
                <w:sz w:val="24"/>
              </w:rPr>
            </w:pPr>
            <w:r>
              <w:rPr>
                <w:rFonts w:hint="eastAsia" w:ascii="Times New Roman" w:hAnsi="Times New Roman" w:eastAsia="宋体" w:cs="Times New Roman"/>
                <w:b/>
                <w:bCs/>
                <w:kern w:val="0"/>
                <w:sz w:val="21"/>
                <w:szCs w:val="21"/>
                <w:lang w:val="en-US" w:eastAsia="zh-CN"/>
              </w:rPr>
              <w:t>关于发挥商协</w:t>
            </w:r>
            <w:bookmarkStart w:id="0" w:name="_Hlk91410243"/>
            <w:r>
              <w:rPr>
                <w:rFonts w:hint="eastAsia" w:ascii="Times New Roman" w:hAnsi="Times New Roman" w:eastAsia="宋体" w:cs="Times New Roman"/>
                <w:b/>
                <w:bCs/>
                <w:kern w:val="0"/>
                <w:sz w:val="21"/>
                <w:szCs w:val="21"/>
                <w:lang w:val="en-US" w:eastAsia="zh-CN"/>
              </w:rPr>
              <w:t>会的职能作用加快助推我州经济高质量可持续发展</w:t>
            </w:r>
            <w:bookmarkEnd w:id="0"/>
            <w:r>
              <w:rPr>
                <w:rFonts w:hint="eastAsia" w:ascii="Times New Roman" w:hAnsi="Times New Roman" w:eastAsia="宋体" w:cs="Times New Roman"/>
                <w:b/>
                <w:bCs/>
                <w:kern w:val="0"/>
                <w:sz w:val="21"/>
                <w:szCs w:val="21"/>
                <w:lang w:val="en-US" w:eastAsia="zh-CN"/>
              </w:rPr>
              <w:t>的建议</w:t>
            </w:r>
          </w:p>
        </w:tc>
      </w:tr>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审查意见</w:t>
            </w:r>
            <w:r>
              <w:rPr>
                <w:rStyle w:val="18"/>
                <w:rFonts w:ascii="宋体" w:hAnsi="宋体" w:cs="宋体"/>
                <w:b/>
                <w:bCs/>
                <w:kern w:val="0"/>
                <w:sz w:val="24"/>
              </w:rPr>
              <w:t>：</w:t>
            </w:r>
          </w:p>
        </w:tc>
        <w:tc>
          <w:tcPr>
            <w:tcW w:w="6797" w:type="dxa"/>
            <w:gridSpan w:val="3"/>
            <w:vAlign w:val="center"/>
          </w:tcPr>
          <w:p>
            <w:pPr>
              <w:jc w:val="left"/>
              <w:rPr>
                <w:rStyle w:val="18"/>
                <w:rFonts w:hint="default" w:ascii="宋体" w:hAnsi="宋体"/>
                <w:kern w:val="0"/>
                <w:sz w:val="24"/>
                <w:lang w:val="en-US" w:eastAsia="zh-CN"/>
              </w:rPr>
            </w:pPr>
            <w:r>
              <w:rPr>
                <w:rStyle w:val="18"/>
                <w:rFonts w:hint="eastAsia" w:ascii="宋体" w:hAnsi="宋体"/>
                <w:kern w:val="0"/>
                <w:sz w:val="24"/>
                <w:szCs w:val="24"/>
                <w:lang w:eastAsia="zh-CN"/>
              </w:rPr>
              <w:t>主办：</w:t>
            </w:r>
            <w:r>
              <w:rPr>
                <w:rStyle w:val="18"/>
                <w:rFonts w:hint="eastAsia" w:ascii="宋体" w:hAnsi="宋体"/>
                <w:kern w:val="0"/>
                <w:sz w:val="24"/>
                <w:szCs w:val="24"/>
                <w:lang w:val="en-US" w:eastAsia="zh-CN"/>
              </w:rPr>
              <w:t>州</w:t>
            </w:r>
            <w:r>
              <w:rPr>
                <w:rStyle w:val="18"/>
                <w:rFonts w:hint="eastAsia" w:ascii="宋体" w:hAnsi="宋体"/>
                <w:kern w:val="0"/>
                <w:sz w:val="24"/>
                <w:szCs w:val="24"/>
                <w:lang w:eastAsia="zh-CN"/>
              </w:rPr>
              <w:t>工商联</w:t>
            </w:r>
            <w:r>
              <w:rPr>
                <w:rStyle w:val="18"/>
                <w:rFonts w:hint="eastAsia" w:ascii="宋体" w:hAnsi="宋体"/>
                <w:kern w:val="0"/>
                <w:sz w:val="24"/>
                <w:szCs w:val="24"/>
                <w:lang w:val="en-US" w:eastAsia="zh-CN"/>
              </w:rPr>
              <w:t xml:space="preserve">   会办：州人大办、州发改委、州工信局、州财政局、州投促局</w:t>
            </w:r>
            <w:bookmarkStart w:id="1" w:name="_GoBack"/>
            <w:bookmarkEnd w:id="1"/>
          </w:p>
        </w:tc>
      </w:tr>
      <w:tr>
        <w:tblPrEx>
          <w:tblCellMar>
            <w:top w:w="0" w:type="dxa"/>
            <w:left w:w="15" w:type="dxa"/>
            <w:bottom w:w="0" w:type="dxa"/>
            <w:right w:w="15" w:type="dxa"/>
          </w:tblCellMar>
        </w:tblPrEx>
        <w:tc>
          <w:tcPr>
            <w:tcW w:w="1753" w:type="dxa"/>
            <w:vAlign w:val="center"/>
          </w:tcPr>
          <w:p>
            <w:pPr>
              <w:jc w:val="left"/>
              <w:rPr>
                <w:rStyle w:val="18"/>
                <w:rFonts w:ascii="黑体" w:hAnsi="宋体" w:eastAsia="黑体"/>
                <w:kern w:val="0"/>
                <w:sz w:val="24"/>
              </w:rPr>
            </w:pPr>
            <w:r>
              <w:rPr>
                <w:rStyle w:val="18"/>
                <w:rFonts w:ascii="黑体" w:hAnsi="宋体" w:eastAsia="黑体" w:cs="宋体"/>
                <w:b/>
                <w:bCs/>
                <w:kern w:val="0"/>
                <w:sz w:val="24"/>
              </w:rPr>
              <w:t>提</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案</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人</w:t>
            </w:r>
            <w:r>
              <w:rPr>
                <w:rStyle w:val="18"/>
                <w:rFonts w:ascii="宋体" w:hAnsi="宋体" w:eastAsia="黑体" w:cs="宋体"/>
                <w:b/>
                <w:bCs/>
                <w:kern w:val="0"/>
                <w:sz w:val="24"/>
              </w:rPr>
              <w:t>：</w:t>
            </w:r>
          </w:p>
        </w:tc>
        <w:tc>
          <w:tcPr>
            <w:tcW w:w="3872" w:type="dxa"/>
            <w:vAlign w:val="center"/>
          </w:tcPr>
          <w:p>
            <w:pPr>
              <w:jc w:val="left"/>
              <w:rPr>
                <w:rStyle w:val="18"/>
                <w:rFonts w:ascii="宋体" w:hAnsi="宋体"/>
                <w:kern w:val="0"/>
                <w:sz w:val="24"/>
              </w:rPr>
            </w:pPr>
            <w:r>
              <w:rPr>
                <w:rStyle w:val="18"/>
                <w:rFonts w:ascii="宋体" w:hAnsi="宋体" w:cs="宋体"/>
                <w:b/>
                <w:bCs/>
                <w:kern w:val="0"/>
                <w:sz w:val="24"/>
              </w:rPr>
              <w:t>通讯地址</w:t>
            </w:r>
          </w:p>
        </w:tc>
        <w:tc>
          <w:tcPr>
            <w:tcW w:w="1440" w:type="dxa"/>
            <w:vAlign w:val="center"/>
          </w:tcPr>
          <w:p>
            <w:pPr>
              <w:jc w:val="left"/>
              <w:rPr>
                <w:rStyle w:val="18"/>
                <w:rFonts w:ascii="宋体" w:hAnsi="宋体"/>
                <w:kern w:val="0"/>
                <w:sz w:val="24"/>
              </w:rPr>
            </w:pPr>
            <w:r>
              <w:rPr>
                <w:rStyle w:val="18"/>
                <w:rFonts w:ascii="宋体" w:hAnsi="宋体" w:cs="宋体"/>
                <w:b/>
                <w:bCs/>
                <w:kern w:val="0"/>
                <w:sz w:val="24"/>
              </w:rPr>
              <w:t>邮政编码</w:t>
            </w:r>
          </w:p>
        </w:tc>
        <w:tc>
          <w:tcPr>
            <w:tcW w:w="1485" w:type="dxa"/>
            <w:vAlign w:val="center"/>
          </w:tcPr>
          <w:p>
            <w:pPr>
              <w:jc w:val="left"/>
              <w:rPr>
                <w:rStyle w:val="18"/>
                <w:rFonts w:ascii="宋体" w:hAnsi="宋体"/>
                <w:kern w:val="0"/>
                <w:sz w:val="24"/>
              </w:rPr>
            </w:pPr>
            <w:r>
              <w:rPr>
                <w:rStyle w:val="18"/>
                <w:rFonts w:ascii="宋体" w:hAnsi="宋体" w:cs="宋体"/>
                <w:b/>
                <w:bCs/>
                <w:kern w:val="0"/>
                <w:sz w:val="24"/>
              </w:rPr>
              <w:t>联系电话</w:t>
            </w:r>
          </w:p>
        </w:tc>
      </w:tr>
      <w:tr>
        <w:tc>
          <w:tcPr>
            <w:tcW w:w="1753" w:type="dxa"/>
            <w:vAlign w:val="center"/>
          </w:tcPr>
          <w:p>
            <w:pPr>
              <w:jc w:val="left"/>
              <w:rPr>
                <w:rFonts w:hint="eastAsia"/>
                <w:lang w:eastAsia="zh-CN"/>
              </w:rPr>
            </w:pPr>
            <w:r>
              <w:rPr>
                <w:rFonts w:hint="eastAsia" w:ascii="Times New Roman" w:hAnsi="Times New Roman" w:eastAsia="宋体"/>
                <w:lang w:eastAsia="zh-CN"/>
              </w:rPr>
              <w:t>欧建国</w:t>
            </w:r>
          </w:p>
        </w:tc>
        <w:tc>
          <w:tcPr>
            <w:tcW w:w="3872" w:type="dxa"/>
            <w:vAlign w:val="center"/>
          </w:tcPr>
          <w:p>
            <w:pPr>
              <w:jc w:val="left"/>
              <w:rPr>
                <w:rFonts w:hint="default"/>
                <w:lang w:val="en-US" w:eastAsia="zh-CN"/>
              </w:rPr>
            </w:pPr>
            <w:r>
              <w:rPr>
                <w:rFonts w:hint="eastAsia"/>
                <w:lang w:val="en-US" w:eastAsia="zh-CN"/>
              </w:rPr>
              <w:t>黎平澳尔华绿色食品产业有限公司</w:t>
            </w:r>
          </w:p>
        </w:tc>
        <w:tc>
          <w:tcPr>
            <w:tcW w:w="1440" w:type="dxa"/>
            <w:vAlign w:val="center"/>
          </w:tcPr>
          <w:p>
            <w:pPr>
              <w:jc w:val="left"/>
              <w:rPr>
                <w:rStyle w:val="18"/>
                <w:rFonts w:hint="default" w:ascii="宋体" w:hAnsi="宋体" w:eastAsia="宋体"/>
                <w:kern w:val="0"/>
                <w:sz w:val="24"/>
                <w:lang w:val="en-US" w:eastAsia="zh-CN"/>
              </w:rPr>
            </w:pPr>
            <w:r>
              <w:rPr>
                <w:rStyle w:val="18"/>
                <w:rFonts w:hint="eastAsia" w:ascii="宋体" w:hAnsi="宋体"/>
                <w:kern w:val="0"/>
                <w:sz w:val="24"/>
              </w:rPr>
              <w:t>55</w:t>
            </w:r>
            <w:r>
              <w:rPr>
                <w:rStyle w:val="18"/>
                <w:rFonts w:hint="eastAsia" w:ascii="宋体" w:hAnsi="宋体"/>
                <w:kern w:val="0"/>
                <w:sz w:val="24"/>
                <w:lang w:val="en-US"/>
              </w:rPr>
              <w:t>7300</w:t>
            </w:r>
          </w:p>
        </w:tc>
        <w:tc>
          <w:tcPr>
            <w:tcW w:w="1485" w:type="dxa"/>
            <w:vAlign w:val="center"/>
          </w:tcPr>
          <w:p>
            <w:pPr>
              <w:jc w:val="left"/>
              <w:rPr>
                <w:rFonts w:hint="default"/>
                <w:sz w:val="21"/>
                <w:szCs w:val="24"/>
                <w:lang w:val="en-US" w:eastAsia="zh-CN"/>
              </w:rPr>
            </w:pPr>
            <w:r>
              <w:rPr>
                <w:rFonts w:hint="eastAsia" w:ascii="Times New Roman" w:hAnsi="Times New Roman" w:eastAsia="宋体"/>
                <w:sz w:val="20"/>
                <w:szCs w:val="22"/>
                <w:lang w:val="en-US" w:eastAsia="zh-CN"/>
              </w:rPr>
              <w:t>13638066369</w:t>
            </w:r>
          </w:p>
        </w:tc>
      </w:tr>
      <w:tr>
        <w:tblPrEx>
          <w:tblCellMar>
            <w:top w:w="0" w:type="dxa"/>
            <w:left w:w="15" w:type="dxa"/>
            <w:bottom w:w="0" w:type="dxa"/>
            <w:right w:w="15" w:type="dxa"/>
          </w:tblCellMar>
        </w:tblPrEx>
        <w:tc>
          <w:tcPr>
            <w:tcW w:w="1753" w:type="dxa"/>
            <w:vAlign w:val="center"/>
          </w:tcPr>
          <w:p>
            <w:pPr>
              <w:jc w:val="left"/>
              <w:rPr>
                <w:rStyle w:val="18"/>
                <w:rFonts w:hint="eastAsia" w:ascii="宋体" w:hAnsi="宋体" w:eastAsia="宋体"/>
                <w:kern w:val="0"/>
                <w:sz w:val="24"/>
                <w:lang w:eastAsia="zh-CN"/>
              </w:rPr>
            </w:pPr>
            <w:r>
              <w:rPr>
                <w:rStyle w:val="18"/>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8"/>
                <w:rFonts w:hint="eastAsia" w:ascii="宋体" w:hAnsi="宋体"/>
                <w:kern w:val="0"/>
                <w:sz w:val="24"/>
                <w:lang w:val="en-US" w:eastAsia="zh-CN"/>
              </w:rPr>
            </w:pPr>
            <w:r>
              <w:rPr>
                <w:rStyle w:val="18"/>
                <w:rFonts w:hint="eastAsia" w:ascii="宋体" w:hAnsi="宋体"/>
                <w:kern w:val="0"/>
                <w:sz w:val="24"/>
                <w:lang w:eastAsia="zh-CN"/>
              </w:rPr>
              <w:t>州委办秘书五科：</w:t>
            </w:r>
            <w:r>
              <w:rPr>
                <w:rStyle w:val="18"/>
                <w:rFonts w:hint="eastAsia" w:ascii="宋体" w:hAnsi="宋体"/>
                <w:kern w:val="0"/>
                <w:sz w:val="24"/>
                <w:lang w:val="en-US" w:eastAsia="zh-CN"/>
              </w:rPr>
              <w:t>8270060；</w:t>
            </w:r>
            <w:r>
              <w:rPr>
                <w:rStyle w:val="18"/>
                <w:rFonts w:hint="eastAsia" w:ascii="宋体" w:hAnsi="宋体"/>
                <w:kern w:val="0"/>
                <w:sz w:val="24"/>
                <w:lang w:eastAsia="zh-CN"/>
              </w:rPr>
              <w:t>州政府办建议提案科：</w:t>
            </w:r>
            <w:r>
              <w:rPr>
                <w:rStyle w:val="18"/>
                <w:rFonts w:hint="eastAsia" w:ascii="宋体" w:hAnsi="宋体"/>
                <w:kern w:val="0"/>
                <w:sz w:val="24"/>
                <w:lang w:val="en-US" w:eastAsia="zh-CN"/>
              </w:rPr>
              <w:t>8260016；</w:t>
            </w:r>
          </w:p>
          <w:p>
            <w:pPr>
              <w:jc w:val="left"/>
              <w:rPr>
                <w:rStyle w:val="18"/>
                <w:rFonts w:hint="default" w:ascii="宋体" w:hAnsi="宋体"/>
                <w:kern w:val="0"/>
                <w:sz w:val="24"/>
                <w:lang w:val="en-US"/>
              </w:rPr>
            </w:pPr>
            <w:r>
              <w:rPr>
                <w:rStyle w:val="18"/>
                <w:rFonts w:hint="eastAsia" w:ascii="宋体" w:hAnsi="宋体"/>
                <w:kern w:val="0"/>
                <w:sz w:val="24"/>
                <w:lang w:eastAsia="zh-CN"/>
              </w:rPr>
              <w:t>州政协提案委：</w:t>
            </w:r>
            <w:r>
              <w:rPr>
                <w:rStyle w:val="18"/>
                <w:rFonts w:hint="eastAsia" w:ascii="宋体" w:hAnsi="宋体"/>
                <w:kern w:val="0"/>
                <w:sz w:val="24"/>
                <w:lang w:val="en-US" w:eastAsia="zh-CN"/>
              </w:rPr>
              <w:t>8428866</w:t>
            </w:r>
            <w:r>
              <w:rPr>
                <w:rStyle w:val="18"/>
                <w:rFonts w:hint="eastAsia" w:ascii="宋体" w:hAnsi="宋体"/>
                <w:kern w:val="0"/>
                <w:sz w:val="24"/>
                <w:lang w:eastAsia="zh-CN"/>
              </w:rPr>
              <w:t>。</w:t>
            </w:r>
          </w:p>
        </w:tc>
      </w:tr>
    </w:tbl>
    <w:p>
      <w:pPr>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内容和办法</w:t>
      </w:r>
      <w:r>
        <w:rPr>
          <w:rStyle w:val="18"/>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随着我国社会主义市场经济体制的日益完善，客观上需要功能更强的沟通宏观面和微观面的中间协调层，在政府与市场主体企业之间有一个中间组织，这个组织就是商协会。商协会是政府工作的支持者，他服务于政府，服务于企业，在政府与企业之间发挥着无法替代的作用。商协会比政府更加接近企业，特别是中小企业，更熟悉企业界出现的问题和困难，能够在政府的利益与企业的要求之间做出平衡。商协会不是一个行政管理和执法机构，因此能更加灵活地做出决策，对中小企业提供及时提出援助意见。市场经济越成熟越发达，市场经济体制越健全越完善，就越需要商会组织发挥中介作用。</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当前，我州各县市的商协会组织存在的困难和问题：一是沟通政府及有关部门的渠道还不够畅通。二是商协会职能尚未明确，工作难以开展。三是思想认识不到位，商协会没有明确的权利和义务，没有为企业解决问题的方法和手段。企业的重要决策和需要解决的问题仍然依赖于政府，由于无法作为，所以对企业无吸引力。四是自身建设不强，工作思路不清，工作力度不大。</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val="0"/>
          <w:bCs w:val="0"/>
          <w:kern w:val="0"/>
          <w:sz w:val="32"/>
          <w:szCs w:val="32"/>
        </w:rPr>
        <w:t> 一是提高认识，高度重视商协会工作。</w:t>
      </w:r>
      <w:r>
        <w:rPr>
          <w:rStyle w:val="18"/>
          <w:rFonts w:hint="eastAsia" w:ascii="仿宋_GB2312" w:hAnsi="宋体" w:eastAsia="仿宋_GB2312"/>
          <w:kern w:val="0"/>
          <w:sz w:val="32"/>
          <w:szCs w:val="32"/>
        </w:rPr>
        <w:t>用好“放管服”改革的政策措施，把企业生产经营管理变为间接管理，加强执法监督，支持中介组织履职尽责，发挥应有的作用。</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 二是政府向社会组织购买服务，明确社会组织的职责，在政策法律框架内赋予社会组织一定的权利，并出台对社会组织的考核办法和措施，实现“大社会，小政府”的格局，改变大包大揽，什么都管不好的局面，促进市场经济体制进一步完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 三是建立商协会决策参与机制，制定重大经济社会决策，涉及企业重大权益的地方性法规，重大投资项目政府规章及其他规范性文件时、听取和吸纳合理的意见和建议。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四是政府要提高重视和关心商协会工作，每年最少能够组织一次民营企业新春座谈会、民营企业家座谈会、优化营商环境座谈会、邀请商协会代表参加，听取商协会的意见建议。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五是出台关于支持商会发展的意见。激发和发挥好商协会的职能作用、帮助企业解决实际难题、引导企业助推我州经济高质量发展。</w:t>
      </w:r>
    </w:p>
    <w:p>
      <w:pPr>
        <w:snapToGrid/>
        <w:spacing w:before="0" w:beforeAutospacing="0" w:after="0" w:afterAutospacing="0" w:line="560" w:lineRule="exact"/>
        <w:ind w:firstLine="640" w:firstLineChars="200"/>
        <w:jc w:val="both"/>
        <w:textAlignment w:val="baseline"/>
        <w:rPr>
          <w:rStyle w:val="18"/>
          <w:rFonts w:hint="eastAsia" w:ascii="仿宋_GB2312" w:hAnsi="宋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4F0C19"/>
    <w:rsid w:val="20E366FE"/>
    <w:rsid w:val="21EA0B57"/>
    <w:rsid w:val="29EB237C"/>
    <w:rsid w:val="2FD84B80"/>
    <w:rsid w:val="30B878C9"/>
    <w:rsid w:val="33552650"/>
    <w:rsid w:val="33573E7B"/>
    <w:rsid w:val="377737A4"/>
    <w:rsid w:val="38D60616"/>
    <w:rsid w:val="3A7B4D73"/>
    <w:rsid w:val="3BE7499D"/>
    <w:rsid w:val="3F1A5C90"/>
    <w:rsid w:val="3FFFB32C"/>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7EB87B7"/>
    <w:rsid w:val="6854075C"/>
    <w:rsid w:val="69A37ABB"/>
    <w:rsid w:val="6B6BD482"/>
    <w:rsid w:val="6B9B22E1"/>
    <w:rsid w:val="762A4BFD"/>
    <w:rsid w:val="77DEC814"/>
    <w:rsid w:val="7AFF21E4"/>
    <w:rsid w:val="7B7EC3A2"/>
    <w:rsid w:val="7C1F064D"/>
    <w:rsid w:val="7DBB9FDA"/>
    <w:rsid w:val="7E6E4452"/>
    <w:rsid w:val="7F3DD669"/>
    <w:rsid w:val="7FE0122B"/>
    <w:rsid w:val="7FFF2EBA"/>
    <w:rsid w:val="97D6C3E0"/>
    <w:rsid w:val="9FBFB67E"/>
    <w:rsid w:val="CDF7FEA7"/>
    <w:rsid w:val="E1DB5338"/>
    <w:rsid w:val="EE7D4E26"/>
    <w:rsid w:val="F76FD043"/>
    <w:rsid w:val="FA87AF83"/>
    <w:rsid w:val="FEEF87BA"/>
    <w:rsid w:val="FF6F7B92"/>
    <w:rsid w:val="FFBA6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4">
    <w:name w:val="table of authorities"/>
    <w:basedOn w:val="1"/>
    <w:next w:val="1"/>
    <w:qFormat/>
    <w:uiPriority w:val="0"/>
    <w:pPr>
      <w:ind w:left="420" w:leftChars="200"/>
    </w:pPr>
    <w:rPr>
      <w:szCs w:val="20"/>
    </w:rPr>
  </w:style>
  <w:style w:type="paragraph" w:styleId="5">
    <w:name w:val="Body Text"/>
    <w:basedOn w:val="1"/>
    <w:next w:val="3"/>
    <w:qFormat/>
    <w:uiPriority w:val="99"/>
    <w:pPr>
      <w:spacing w:afterAutospacing="1"/>
      <w:ind w:left="101"/>
    </w:pPr>
    <w:rPr>
      <w:rFonts w:ascii="宋体" w:hAnsi="宋体"/>
      <w:sz w:val="29"/>
      <w:szCs w:val="29"/>
    </w:rPr>
  </w:style>
  <w:style w:type="paragraph" w:styleId="6">
    <w:name w:val="Body Text Indent"/>
    <w:basedOn w:val="1"/>
    <w:next w:val="5"/>
    <w:qFormat/>
    <w:uiPriority w:val="99"/>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8"/>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99"/>
    <w:pPr>
      <w:ind w:left="0" w:leftChars="0" w:firstLine="880" w:firstLineChars="200"/>
    </w:pPr>
    <w:rPr>
      <w:rFonts w:eastAsia="仿宋_GB2312"/>
    </w:rPr>
  </w:style>
  <w:style w:type="character" w:styleId="16">
    <w:name w:val="Strong"/>
    <w:qFormat/>
    <w:uiPriority w:val="0"/>
    <w:rPr>
      <w:rFonts w:cs="Times New Roman"/>
      <w:b/>
      <w:bCs/>
    </w:rPr>
  </w:style>
  <w:style w:type="character" w:styleId="17">
    <w:name w:val="Hyperlink"/>
    <w:basedOn w:val="18"/>
    <w:semiHidden/>
    <w:qFormat/>
    <w:uiPriority w:val="0"/>
    <w:rPr>
      <w:color w:val="0000FF"/>
      <w:u w:val="single"/>
    </w:r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Heading1"/>
    <w:basedOn w:val="1"/>
    <w:link w:val="25"/>
    <w:qFormat/>
    <w:uiPriority w:val="0"/>
    <w:pPr>
      <w:spacing w:before="100" w:beforeAutospacing="1" w:after="100" w:afterAutospacing="1"/>
      <w:jc w:val="left"/>
    </w:pPr>
    <w:rPr>
      <w:rFonts w:ascii="宋体" w:hAnsi="宋体" w:cs="宋体"/>
      <w:b/>
      <w:bCs/>
      <w:kern w:val="36"/>
      <w:sz w:val="48"/>
      <w:szCs w:val="48"/>
    </w:rPr>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Acetate"/>
    <w:basedOn w:val="1"/>
    <w:qFormat/>
    <w:uiPriority w:val="0"/>
    <w:rPr>
      <w:sz w:val="18"/>
      <w:szCs w:val="18"/>
    </w:rPr>
  </w:style>
  <w:style w:type="paragraph" w:customStyle="1" w:styleId="22">
    <w:name w:val="UserStyle_0"/>
    <w:basedOn w:val="1"/>
    <w:next w:val="23"/>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3">
    <w:name w:val="UserStyle_1"/>
    <w:basedOn w:val="22"/>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4">
    <w:name w:val="UserStyle_2"/>
    <w:basedOn w:val="1"/>
    <w:qFormat/>
    <w:uiPriority w:val="0"/>
    <w:pPr>
      <w:spacing w:before="100" w:beforeAutospacing="1" w:after="100" w:afterAutospacing="1"/>
      <w:jc w:val="left"/>
    </w:pPr>
    <w:rPr>
      <w:rFonts w:ascii="宋体" w:hAnsi="宋体"/>
      <w:kern w:val="0"/>
      <w:sz w:val="24"/>
    </w:rPr>
  </w:style>
  <w:style w:type="character" w:customStyle="1" w:styleId="25">
    <w:name w:val="UserStyle_3"/>
    <w:basedOn w:val="18"/>
    <w:link w:val="19"/>
    <w:qFormat/>
    <w:uiPriority w:val="0"/>
    <w:rPr>
      <w:rFonts w:ascii="宋体" w:hAnsi="宋体" w:cs="宋体"/>
      <w:b/>
      <w:bCs/>
      <w:kern w:val="36"/>
      <w:sz w:val="48"/>
      <w:szCs w:val="48"/>
    </w:rPr>
  </w:style>
  <w:style w:type="character" w:customStyle="1" w:styleId="26">
    <w:name w:val="UserStyle_4"/>
    <w:basedOn w:val="18"/>
    <w:qFormat/>
    <w:uiPriority w:val="0"/>
  </w:style>
  <w:style w:type="paragraph" w:customStyle="1" w:styleId="27">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8">
    <w:name w:val="页脚 Char"/>
    <w:basedOn w:val="15"/>
    <w:link w:val="9"/>
    <w:qFormat/>
    <w:uiPriority w:val="99"/>
    <w:rPr>
      <w:rFonts w:cstheme="minorBidi"/>
      <w:kern w:val="2"/>
      <w:sz w:val="18"/>
      <w:szCs w:val="18"/>
    </w:rPr>
  </w:style>
  <w:style w:type="paragraph" w:customStyle="1" w:styleId="29">
    <w:name w:val="正文-公1"/>
    <w:basedOn w:val="30"/>
    <w:next w:val="1"/>
    <w:qFormat/>
    <w:uiPriority w:val="99"/>
    <w:pPr>
      <w:ind w:firstLine="200" w:firstLineChars="200"/>
    </w:pPr>
    <w:rPr>
      <w:rFonts w:ascii="Calibri" w:hAnsi="Calibri"/>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9"/>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2">
    <w:name w:val="正文文本首行缩进 2"/>
    <w:basedOn w:val="6"/>
    <w:qFormat/>
    <w:uiPriority w:val="0"/>
    <w:pPr>
      <w:ind w:firstLine="420" w:firstLineChars="200"/>
    </w:pPr>
    <w:rPr>
      <w:rFonts w:ascii="Calibri" w:hAnsi="Calibri" w:eastAsia="宋体" w:cs="宋体"/>
    </w:rPr>
  </w:style>
  <w:style w:type="paragraph" w:customStyle="1" w:styleId="33">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1103</Words>
  <Characters>1148</Characters>
  <Lines>14</Lines>
  <Paragraphs>4</Paragraphs>
  <TotalTime>16</TotalTime>
  <ScaleCrop>false</ScaleCrop>
  <LinksUpToDate>false</LinksUpToDate>
  <CharactersWithSpaces>1185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2021-01-13T20:51:00Z</dcterms:created>
  <dc:creator>Administrator</dc:creator>
  <cp:lastModifiedBy>丘丘</cp:lastModifiedBy>
  <cp:lastPrinted>2022-01-06T16:12:00Z</cp:lastPrinted>
  <dcterms:modified xsi:type="dcterms:W3CDTF">2022-03-29T06:55:02Z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