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1"/>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1"/>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111</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top"/>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Style w:val="10"/>
                <w:rFonts w:ascii="宋体" w:hAnsi="宋体" w:cs="宋体"/>
                <w:b/>
                <w:bCs/>
                <w:kern w:val="0"/>
                <w:sz w:val="24"/>
              </w:rPr>
            </w:pPr>
            <w:bookmarkStart w:id="0" w:name="_GoBack"/>
            <w:bookmarkEnd w:id="0"/>
            <w:r>
              <w:rPr>
                <w:rFonts w:hint="eastAsia" w:ascii="Times New Roman" w:hAnsi="Times New Roman" w:cs="Times New Roman"/>
                <w:b/>
                <w:bCs/>
                <w:kern w:val="0"/>
                <w:sz w:val="24"/>
                <w:lang w:val="en-US" w:eastAsia="zh-CN"/>
              </w:rPr>
              <w:t>关于扩大农业保险覆盖范围的建议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主办：州</w:t>
            </w:r>
            <w:r>
              <w:rPr>
                <w:rStyle w:val="10"/>
                <w:rFonts w:hint="eastAsia" w:ascii="宋体" w:hAnsi="宋体"/>
                <w:kern w:val="0"/>
                <w:sz w:val="24"/>
                <w:lang w:val="en-US" w:eastAsia="zh-CN"/>
              </w:rPr>
              <w:t>农业农村局    会办：</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widowControl/>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张柱亭</w:t>
            </w:r>
          </w:p>
        </w:tc>
        <w:tc>
          <w:tcPr>
            <w:tcW w:w="3872" w:type="dxa"/>
            <w:vAlign w:val="center"/>
          </w:tcPr>
          <w:p>
            <w:pPr>
              <w:widowControl/>
              <w:jc w:val="left"/>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凯里学院</w:t>
            </w:r>
          </w:p>
        </w:tc>
        <w:tc>
          <w:tcPr>
            <w:tcW w:w="1440" w:type="dxa"/>
            <w:vAlign w:val="center"/>
          </w:tcPr>
          <w:p>
            <w:pPr>
              <w:widowControl/>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 556000</w:t>
            </w:r>
          </w:p>
        </w:tc>
        <w:tc>
          <w:tcPr>
            <w:tcW w:w="1485" w:type="dxa"/>
            <w:vAlign w:val="center"/>
          </w:tcPr>
          <w:p>
            <w:pPr>
              <w:widowControl/>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15286633629</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w:t>
            </w:r>
            <w:r>
              <w:rPr>
                <w:rStyle w:val="10"/>
                <w:rFonts w:hint="eastAsia" w:ascii="宋体" w:hAnsi="宋体"/>
                <w:kern w:val="0"/>
                <w:sz w:val="24"/>
                <w:lang w:val="en-US" w:eastAsia="zh-CN"/>
              </w:rPr>
              <w:t>秘书五</w:t>
            </w:r>
            <w:r>
              <w:rPr>
                <w:rStyle w:val="10"/>
                <w:rFonts w:hint="eastAsia" w:ascii="宋体" w:hAnsi="宋体"/>
                <w:kern w:val="0"/>
                <w:sz w:val="24"/>
                <w:lang w:eastAsia="zh-CN"/>
              </w:rPr>
              <w:t>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bidi w:val="0"/>
        <w:snapToGrid/>
        <w:spacing w:line="560" w:lineRule="exact"/>
        <w:ind w:firstLine="57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影响农业产业成败的因素较多，</w:t>
      </w:r>
      <w:r>
        <w:rPr>
          <w:rFonts w:hint="eastAsia" w:ascii="仿宋" w:hAnsi="仿宋" w:eastAsia="仿宋" w:cs="仿宋"/>
          <w:sz w:val="32"/>
          <w:szCs w:val="32"/>
        </w:rPr>
        <w:t>灾害性天气、毁灭性的病虫害、产品价格和销路是目前坝区农业产业是否能够获取稳定利润和持续发展的重要影响因素。目前水稻、玉米等粮食作物可入农业保险，但蔬菜等经济作物农业保险还没有覆盖。农业种植技术对种植经验要求较高，因生产周期相对较长，前期技术摸索和经验积累阶段遭遇各种失败的情况非常普遍，如果没有一定的前期保障措施，很难持续开展而积累足够经验和技术达到生产稳定，销路畅通、价格周期熟悉的真正获益模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建议：</w:t>
      </w:r>
    </w:p>
    <w:p>
      <w:pPr>
        <w:keepNext w:val="0"/>
        <w:keepLines w:val="0"/>
        <w:pageBreakBefore w:val="0"/>
        <w:widowControl w:val="0"/>
        <w:kinsoku/>
        <w:wordWrap/>
        <w:overflowPunct/>
        <w:topLinePunct w:val="0"/>
        <w:bidi w:val="0"/>
        <w:snapToGrid/>
        <w:spacing w:line="56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增加农业保险覆盖面。农业保险是保障农业种植企业可持续的开展农业产业开发的保障，亟需扩大相关经济作物农业保险的覆盖面，让从事农业生产的企业有持续发展的抗风险能力。</w:t>
      </w:r>
    </w:p>
    <w:p>
      <w:pPr>
        <w:keepNext w:val="0"/>
        <w:keepLines w:val="0"/>
        <w:pageBreakBefore w:val="0"/>
        <w:widowControl w:val="0"/>
        <w:kinsoku/>
        <w:wordWrap/>
        <w:overflowPunct/>
        <w:topLinePunct w:val="0"/>
        <w:bidi w:val="0"/>
        <w:snapToGrid/>
        <w:spacing w:line="560" w:lineRule="exact"/>
        <w:ind w:firstLine="570"/>
        <w:textAlignment w:val="auto"/>
        <w:rPr>
          <w:rFonts w:hint="eastAsia" w:ascii="仿宋" w:hAnsi="仿宋" w:eastAsia="仿宋" w:cs="仿宋"/>
          <w:sz w:val="32"/>
          <w:szCs w:val="32"/>
        </w:rPr>
      </w:pP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p>
      <w:pPr>
        <w:rPr>
          <w:rFonts w:hint="default" w:eastAsiaTheme="minorEastAsia"/>
          <w:lang w:val="en-US" w:eastAsia="zh-CN"/>
        </w:rPr>
      </w:pPr>
    </w:p>
    <w:p>
      <w:pPr>
        <w:rPr>
          <w:rFonts w:hint="default" w:ascii="Times New Roman" w:hAnsi="Times New Roman" w:cs="Times New Roman"/>
          <w:b/>
          <w:bCs/>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E799B"/>
    <w:rsid w:val="0DEA772E"/>
    <w:rsid w:val="2A91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rPr>
  </w:style>
  <w:style w:type="paragraph" w:styleId="3">
    <w:name w:val="footer"/>
    <w:basedOn w:val="1"/>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paragraph" w:customStyle="1" w:styleId="9">
    <w:name w:val="UserStyle_2"/>
    <w:basedOn w:val="1"/>
    <w:qFormat/>
    <w:uiPriority w:val="0"/>
    <w:pPr>
      <w:spacing w:before="100" w:beforeAutospacing="1" w:after="100" w:afterAutospacing="1"/>
      <w:jc w:val="left"/>
    </w:pPr>
    <w:rPr>
      <w:rFonts w:ascii="宋体" w:hAnsi="宋体"/>
      <w:kern w:val="0"/>
      <w:sz w:val="24"/>
    </w:rPr>
  </w:style>
  <w:style w:type="character" w:customStyle="1" w:styleId="10">
    <w:name w:val="NormalCharacter"/>
    <w:semiHidden/>
    <w:qFormat/>
    <w:uiPriority w:val="0"/>
  </w:style>
  <w:style w:type="paragraph" w:customStyle="1" w:styleId="11">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丘丘</cp:lastModifiedBy>
  <cp:lastPrinted>2022-01-04T07:49:08Z</cp:lastPrinted>
  <dcterms:modified xsi:type="dcterms:W3CDTF">2022-01-04T07:49:10Z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B20E4A53EA424A9C9F2DD7E9ED1F33C1</vt:lpwstr>
  </property>
</Properties>
</file>