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spacing w:before="0" w:beforeAutospacing="0" w:after="0" w:afterAutospacing="0" w:line="600" w:lineRule="exact"/>
        <w:jc w:val="center"/>
        <w:rPr>
          <w:rStyle w:val="20"/>
          <w:rFonts w:ascii="黑体" w:eastAsia="黑体"/>
          <w:sz w:val="44"/>
          <w:szCs w:val="44"/>
        </w:rPr>
      </w:pPr>
      <w:r>
        <w:rPr>
          <w:rStyle w:val="18"/>
          <w:rFonts w:ascii="黑体" w:eastAsia="黑体" w:cs="宋体"/>
          <w:sz w:val="44"/>
          <w:szCs w:val="44"/>
        </w:rPr>
        <w:t>中国人民政治协商会议</w:t>
      </w:r>
    </w:p>
    <w:p>
      <w:pPr>
        <w:pStyle w:val="27"/>
        <w:spacing w:before="0" w:beforeAutospacing="0" w:after="0" w:afterAutospacing="0" w:line="600" w:lineRule="exact"/>
        <w:jc w:val="center"/>
        <w:rPr>
          <w:rStyle w:val="20"/>
          <w:rFonts w:hint="eastAsia"/>
          <w:sz w:val="44"/>
          <w:szCs w:val="44"/>
        </w:rPr>
      </w:pPr>
      <w:r>
        <w:rPr>
          <w:rStyle w:val="20"/>
          <w:sz w:val="44"/>
          <w:szCs w:val="44"/>
        </w:rPr>
        <w:t>黔东南苗族侗族自治州委员会</w:t>
      </w:r>
    </w:p>
    <w:p>
      <w:pPr>
        <w:pStyle w:val="27"/>
        <w:spacing w:before="0" w:beforeAutospacing="0" w:after="0" w:afterAutospacing="0" w:line="600" w:lineRule="exact"/>
        <w:jc w:val="center"/>
        <w:rPr>
          <w:rStyle w:val="20"/>
          <w:rFonts w:hint="eastAsia"/>
          <w:sz w:val="44"/>
          <w:szCs w:val="44"/>
        </w:rPr>
      </w:pPr>
      <w:r>
        <w:rPr>
          <w:rStyle w:val="20"/>
          <w:sz w:val="44"/>
          <w:szCs w:val="44"/>
        </w:rPr>
        <w:t>提</w:t>
      </w:r>
      <w:r>
        <w:rPr>
          <w:rStyle w:val="20"/>
          <w:rFonts w:hint="eastAsia"/>
          <w:sz w:val="44"/>
          <w:szCs w:val="44"/>
        </w:rPr>
        <w:t xml:space="preserve">   </w:t>
      </w:r>
      <w:r>
        <w:rPr>
          <w:rStyle w:val="2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2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2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20"/>
          <w:rFonts w:ascii="宋体" w:hAnsi="宋体"/>
          <w:kern w:val="0"/>
          <w:sz w:val="24"/>
        </w:rPr>
      </w:pPr>
      <w:r>
        <w:rPr>
          <w:rStyle w:val="2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2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20"/>
          <w:rFonts w:ascii="宋体" w:hAnsi="宋体"/>
          <w:kern w:val="0"/>
          <w:sz w:val="24"/>
        </w:rPr>
        <w:t>第十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20"/>
          <w:rFonts w:ascii="宋体" w:hAnsi="宋体"/>
          <w:kern w:val="0"/>
          <w:sz w:val="24"/>
        </w:rPr>
        <w:t>届第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20"/>
          <w:rFonts w:ascii="宋体" w:hAnsi="宋体"/>
          <w:kern w:val="0"/>
          <w:sz w:val="24"/>
        </w:rPr>
        <w:t>次会议　       　第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>122</w:t>
      </w:r>
      <w:r>
        <w:rPr>
          <w:rStyle w:val="20"/>
          <w:rFonts w:ascii="宋体" w:hAnsi="宋体"/>
          <w:kern w:val="0"/>
          <w:sz w:val="24"/>
        </w:rPr>
        <w:t xml:space="preserve">号　    </w:t>
      </w:r>
      <w:r>
        <w:rPr>
          <w:rStyle w:val="20"/>
          <w:rFonts w:hint="eastAsia" w:ascii="宋体" w:hAnsi="宋体"/>
          <w:kern w:val="0"/>
          <w:sz w:val="24"/>
        </w:rPr>
        <w:t xml:space="preserve">    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 xml:space="preserve"> 类别：生态文明建设类     </w:t>
      </w:r>
    </w:p>
    <w:p>
      <w:pPr>
        <w:spacing w:line="320" w:lineRule="exact"/>
        <w:jc w:val="left"/>
        <w:rPr>
          <w:rStyle w:val="20"/>
          <w:rFonts w:ascii="宋体" w:hAnsi="宋体"/>
          <w:kern w:val="0"/>
          <w:sz w:val="24"/>
        </w:rPr>
      </w:pPr>
      <w:r>
        <w:rPr>
          <w:rStyle w:val="2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2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20"/>
                <w:rFonts w:hint="eastAsia" w:ascii="宋体" w:hAnsi="宋体" w:cs="宋体"/>
                <w:b/>
                <w:bCs/>
                <w:kern w:val="0"/>
                <w:sz w:val="24"/>
              </w:rPr>
              <w:t xml:space="preserve">关于进一步优化农村人居环境建设宜居宜业美丽乡村的建议   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2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州乡村振兴局 会办：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州住建局、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州农业农村局、州环境保护局、州自然资源局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ascii="黑体" w:hAnsi="宋体" w:eastAsia="黑体"/>
                <w:kern w:val="0"/>
                <w:sz w:val="24"/>
              </w:rPr>
            </w:pP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2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2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彭晖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  <w:t>民进黔东南州委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default" w:ascii="宋体" w:hAnsi="宋体" w:eastAsia="宋体"/>
                <w:kern w:val="0"/>
                <w:sz w:val="24"/>
                <w:lang w:val="en-US" w:eastAsia="zh-CN"/>
              </w:rPr>
              <w:t>556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00</w:t>
            </w:r>
            <w:r>
              <w:rPr>
                <w:rStyle w:val="20"/>
                <w:rFonts w:hint="default" w:ascii="宋体" w:hAnsi="宋体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  <w:t xml:space="preserve">13708558809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2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2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20"/>
          <w:rFonts w:ascii="宋体" w:hAnsi="宋体"/>
          <w:kern w:val="0"/>
          <w:sz w:val="24"/>
        </w:rPr>
      </w:pPr>
      <w:r>
        <w:rPr>
          <w:rStyle w:val="2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2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20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2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实施乡村振兴战略，生态宜居是关键。近年来，黔东南州围绕优化农村人居环境，通过着力实施垃圾、污水治理，“厕所革命”等专项行动，全州农村人居环境整治由点到面，全面推进取得了明显成效，但与先进地区相比，仍存在差距。存在的主要问题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运行机制不顺畅。农村人居环境整治，涉及农业农村、住建、水利、卫健、生态环境等多个部门，部门间左右联动、统筹推进、一体实施的协作机制尚未完全形成。农村生活垃圾、污水集中统一处理及整治项目，实施日常监管等方面存在空档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村寨规划不齐全。大多数村寨没有规划或者规划不系统，不全面。规划的欠缺，对科学有序推进农村人居环境整治造成一定影响，一些村寨在整治中存在照搬照抄的现象，缺少乡村元素，民族元素及人文特色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资金投入不足。各级政府财政投入额度不大，农村集体经济实力偏弱，社会资本引入办法不多，导致在垃圾、污水、粪污的无害化处理基础设施上投入不足。大多数村寨环境整治仅仅停留在卫生清扫、粉刷墙壁等容貌整治上，极易发生“辛辛苦苦几个月，一夜回到整治前”的现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四、群众参与不主动。一方面村民主体意识、家园意识、环境意识上需进一步增强，长期形成的不良生活习惯及卫生习惯难以扭转。另一方面，村民主动投劳出资参与农村人居环境整治积极性不高，存在着“干部干、群众看”的现象，村民积极性不高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加强领导，确保整治取得实效。农村人居环境整治涵盖农业农村生产生活生态各个方面，需要统筹协作、创新机制。应切实加强党对农业农村工作的统一领导，深入落实各级党政一把手负责制，进一步压实各级各部门责任，建立健全考评机制，确保农村人居环境整治工作有序推进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坚持规划先行，突出乡村人文内涵。要把规划摆在首要位置，坚持先规划后建设。着力推进“一图、一表、一说明”的村寨实用性规划编制，力争实现村寨实用性规划全覆盖。强化工作指导，结合各村寨地理区位、资源禀赋、产业发展、村民实际需要等对村寨进行梳理，分类实施差异化指导，坚持个性化塑造，充分挖掘地方特色、民族特色，营造山水田园风光与乡土民族风情融合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三、因地制宜，科学确定目标任务。根据地理条件、民族习俗、经济水平等情况，科学确定本地区整治目标任务。农村垃圾治理，要解决垃圾无害化处理设施不足的问题。污水治理，要加强城乡污水管网及镇、村级污水处理设施建设。            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四、加大投入，完善环境基础设施。各级政府要加大财政资金扶持力度，统筹安排各类项目资金，整体推进垃圾、污水、厕所等各类农村人居环境，改善基础设施项目。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五、围绕主体，建立长效管理机制。农民群众不仅是农村环境整治的直接受益者，更是重要的参与者和建设者。要做好宣传教育工作，让群众从思想深处认同这项工作。把推进农村环境整治的过程变成组织群众发动群众的过程，健全完善村规民约，制定长期的管理措施及制度。</w:t>
      </w:r>
    </w:p>
    <w:p>
      <w:pPr>
        <w:spacing w:line="560" w:lineRule="exact"/>
        <w:ind w:firstLine="643" w:firstLineChars="200"/>
        <w:rPr>
          <w:rStyle w:val="2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Style w:val="20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2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2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20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2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137C9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6723E75"/>
    <w:rsid w:val="07D26AFC"/>
    <w:rsid w:val="085639B7"/>
    <w:rsid w:val="08DF7FD3"/>
    <w:rsid w:val="0CFE2127"/>
    <w:rsid w:val="0E023C14"/>
    <w:rsid w:val="0E6211D8"/>
    <w:rsid w:val="10B40BCC"/>
    <w:rsid w:val="10F40BE4"/>
    <w:rsid w:val="118823F2"/>
    <w:rsid w:val="121236E7"/>
    <w:rsid w:val="14B55B05"/>
    <w:rsid w:val="14CA2548"/>
    <w:rsid w:val="14FB1B14"/>
    <w:rsid w:val="169647CD"/>
    <w:rsid w:val="16D82272"/>
    <w:rsid w:val="17952A0B"/>
    <w:rsid w:val="188C1484"/>
    <w:rsid w:val="18EC1E64"/>
    <w:rsid w:val="1966382D"/>
    <w:rsid w:val="1A917DD9"/>
    <w:rsid w:val="1BAB45FA"/>
    <w:rsid w:val="1C3D0309"/>
    <w:rsid w:val="20790890"/>
    <w:rsid w:val="209D5BC6"/>
    <w:rsid w:val="21EA0B57"/>
    <w:rsid w:val="255649A8"/>
    <w:rsid w:val="25730CA1"/>
    <w:rsid w:val="25983D3C"/>
    <w:rsid w:val="26A31BEB"/>
    <w:rsid w:val="278B5D37"/>
    <w:rsid w:val="285B3E37"/>
    <w:rsid w:val="292E3516"/>
    <w:rsid w:val="29516A7C"/>
    <w:rsid w:val="29EB237C"/>
    <w:rsid w:val="2B91741D"/>
    <w:rsid w:val="2C125075"/>
    <w:rsid w:val="2D1C2FCE"/>
    <w:rsid w:val="2DED1791"/>
    <w:rsid w:val="2E26699A"/>
    <w:rsid w:val="2FD84B80"/>
    <w:rsid w:val="30B878C9"/>
    <w:rsid w:val="30C355A4"/>
    <w:rsid w:val="312C2212"/>
    <w:rsid w:val="33552650"/>
    <w:rsid w:val="36DF2C6D"/>
    <w:rsid w:val="377737A4"/>
    <w:rsid w:val="38161E21"/>
    <w:rsid w:val="38512AAE"/>
    <w:rsid w:val="38D60616"/>
    <w:rsid w:val="38E6072A"/>
    <w:rsid w:val="3A7B4D73"/>
    <w:rsid w:val="3F1A5C90"/>
    <w:rsid w:val="3F9241D0"/>
    <w:rsid w:val="429C3A74"/>
    <w:rsid w:val="42F10C9F"/>
    <w:rsid w:val="43953D03"/>
    <w:rsid w:val="4397414B"/>
    <w:rsid w:val="44AF3CA3"/>
    <w:rsid w:val="44BC15A0"/>
    <w:rsid w:val="470F7444"/>
    <w:rsid w:val="48BF0ACA"/>
    <w:rsid w:val="48EF2C94"/>
    <w:rsid w:val="48F66091"/>
    <w:rsid w:val="4A196944"/>
    <w:rsid w:val="4AFB1C7E"/>
    <w:rsid w:val="4D04300E"/>
    <w:rsid w:val="4E0963F8"/>
    <w:rsid w:val="4E6A17E5"/>
    <w:rsid w:val="4F6B5D70"/>
    <w:rsid w:val="50361239"/>
    <w:rsid w:val="503815FD"/>
    <w:rsid w:val="507F065A"/>
    <w:rsid w:val="51B406C1"/>
    <w:rsid w:val="52263247"/>
    <w:rsid w:val="5236789E"/>
    <w:rsid w:val="52594BAC"/>
    <w:rsid w:val="5497004A"/>
    <w:rsid w:val="556B0F96"/>
    <w:rsid w:val="557E780B"/>
    <w:rsid w:val="559F1A55"/>
    <w:rsid w:val="55B805B9"/>
    <w:rsid w:val="56314A29"/>
    <w:rsid w:val="57A12425"/>
    <w:rsid w:val="58167D2D"/>
    <w:rsid w:val="5902530C"/>
    <w:rsid w:val="59BD76F1"/>
    <w:rsid w:val="5A33791C"/>
    <w:rsid w:val="5A7C34BF"/>
    <w:rsid w:val="5AA17385"/>
    <w:rsid w:val="5B55151A"/>
    <w:rsid w:val="5B564800"/>
    <w:rsid w:val="5B7C24C8"/>
    <w:rsid w:val="5C342431"/>
    <w:rsid w:val="5CEC5AA8"/>
    <w:rsid w:val="5F1D4C21"/>
    <w:rsid w:val="5FDA608F"/>
    <w:rsid w:val="617E5CD0"/>
    <w:rsid w:val="61895CCF"/>
    <w:rsid w:val="61C325AD"/>
    <w:rsid w:val="62384D4B"/>
    <w:rsid w:val="62BA14E8"/>
    <w:rsid w:val="62CB18FB"/>
    <w:rsid w:val="637A36D3"/>
    <w:rsid w:val="64010D57"/>
    <w:rsid w:val="66F35DD9"/>
    <w:rsid w:val="67210F58"/>
    <w:rsid w:val="67AD6576"/>
    <w:rsid w:val="6854075C"/>
    <w:rsid w:val="69A37ABB"/>
    <w:rsid w:val="6A9524E1"/>
    <w:rsid w:val="6AA44A20"/>
    <w:rsid w:val="6DA7783B"/>
    <w:rsid w:val="6E64541F"/>
    <w:rsid w:val="72A61A44"/>
    <w:rsid w:val="72CE5F9C"/>
    <w:rsid w:val="73746A5F"/>
    <w:rsid w:val="74007530"/>
    <w:rsid w:val="75E22452"/>
    <w:rsid w:val="76471ADB"/>
    <w:rsid w:val="77DC05AA"/>
    <w:rsid w:val="783A4BD2"/>
    <w:rsid w:val="78421D59"/>
    <w:rsid w:val="7AF667DD"/>
    <w:rsid w:val="7C1F064D"/>
    <w:rsid w:val="7EE1608F"/>
    <w:rsid w:val="7FB21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/>
    </w:pPr>
  </w:style>
  <w:style w:type="paragraph" w:customStyle="1" w:styleId="3">
    <w:name w:val="正文 New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7">
    <w:name w:val="Body Text"/>
    <w:basedOn w:val="1"/>
    <w:qFormat/>
    <w:uiPriority w:val="0"/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styleId="9">
    <w:name w:val="Balloon Text"/>
    <w:basedOn w:val="1"/>
    <w:next w:val="1"/>
    <w:qFormat/>
    <w:uiPriority w:val="0"/>
    <w:rPr>
      <w:sz w:val="18"/>
      <w:szCs w:val="18"/>
    </w:rPr>
  </w:style>
  <w:style w:type="paragraph" w:styleId="10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11">
    <w:name w:val="footer"/>
    <w:basedOn w:val="1"/>
    <w:link w:val="33"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index 9"/>
    <w:next w:val="1"/>
    <w:qFormat/>
    <w:uiPriority w:val="0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Body Text 2"/>
    <w:basedOn w:val="1"/>
    <w:unhideWhenUsed/>
    <w:qFormat/>
    <w:uiPriority w:val="99"/>
    <w:pPr>
      <w:ind w:firstLine="400"/>
    </w:pPr>
    <w:rPr>
      <w:rFonts w:eastAsia="仿宋_GB2312"/>
      <w:sz w:val="32"/>
    </w:rPr>
  </w:style>
  <w:style w:type="paragraph" w:styleId="14">
    <w:name w:val="Normal (Web)"/>
    <w:basedOn w:val="1"/>
    <w:next w:val="12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 2"/>
    <w:basedOn w:val="8"/>
    <w:next w:val="1"/>
    <w:qFormat/>
    <w:uiPriority w:val="0"/>
    <w:pPr>
      <w:ind w:firstLine="420" w:firstLineChars="200"/>
    </w:pPr>
  </w:style>
  <w:style w:type="character" w:styleId="18">
    <w:name w:val="Strong"/>
    <w:qFormat/>
    <w:uiPriority w:val="0"/>
    <w:rPr>
      <w:rFonts w:cs="Times New Roman"/>
      <w:b/>
      <w:bCs/>
    </w:rPr>
  </w:style>
  <w:style w:type="character" w:styleId="19">
    <w:name w:val="Hyperlink"/>
    <w:basedOn w:val="20"/>
    <w:semiHidden/>
    <w:qFormat/>
    <w:uiPriority w:val="0"/>
    <w:rPr>
      <w:color w:val="0000FF"/>
      <w:u w:val="single"/>
    </w:rPr>
  </w:style>
  <w:style w:type="character" w:customStyle="1" w:styleId="20">
    <w:name w:val="NormalCharacter"/>
    <w:link w:val="21"/>
    <w:semiHidden/>
    <w:qFormat/>
    <w:uiPriority w:val="0"/>
  </w:style>
  <w:style w:type="paragraph" w:customStyle="1" w:styleId="21">
    <w:name w:val="UserStyle_5"/>
    <w:basedOn w:val="22"/>
    <w:link w:val="20"/>
    <w:qFormat/>
    <w:uiPriority w:val="0"/>
    <w:pPr>
      <w:jc w:val="both"/>
      <w:textAlignment w:val="baseline"/>
    </w:pPr>
  </w:style>
  <w:style w:type="paragraph" w:customStyle="1" w:styleId="22">
    <w:name w:val="UserStyle_6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44"/>
      <w:szCs w:val="44"/>
      <w:lang w:val="en-US" w:eastAsia="zh-CN" w:bidi="ar-SA"/>
    </w:rPr>
  </w:style>
  <w:style w:type="paragraph" w:customStyle="1" w:styleId="23">
    <w:name w:val="TableOfAuthoring"/>
    <w:basedOn w:val="1"/>
    <w:next w:val="1"/>
    <w:semiHidden/>
    <w:qFormat/>
    <w:uiPriority w:val="0"/>
    <w:pPr>
      <w:spacing w:after="0"/>
      <w:ind w:left="420" w:leftChars="200"/>
      <w:jc w:val="both"/>
      <w:textAlignment w:val="baseline"/>
    </w:pPr>
  </w:style>
  <w:style w:type="paragraph" w:customStyle="1" w:styleId="24">
    <w:name w:val="Heading1"/>
    <w:basedOn w:val="1"/>
    <w:link w:val="30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25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Acetate"/>
    <w:basedOn w:val="1"/>
    <w:qFormat/>
    <w:uiPriority w:val="0"/>
    <w:rPr>
      <w:sz w:val="18"/>
      <w:szCs w:val="18"/>
    </w:rPr>
  </w:style>
  <w:style w:type="paragraph" w:customStyle="1" w:styleId="27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8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9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0">
    <w:name w:val="UserStyle_3"/>
    <w:basedOn w:val="20"/>
    <w:link w:val="24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31">
    <w:name w:val="UserStyle_4"/>
    <w:basedOn w:val="20"/>
    <w:qFormat/>
    <w:uiPriority w:val="0"/>
  </w:style>
  <w:style w:type="paragraph" w:customStyle="1" w:styleId="32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3">
    <w:name w:val="页脚 Char"/>
    <w:basedOn w:val="17"/>
    <w:link w:val="11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1423</Words>
  <Characters>1468</Characters>
  <Lines>14</Lines>
  <Paragraphs>4</Paragraphs>
  <TotalTime>0</TotalTime>
  <ScaleCrop>false</ScaleCrop>
  <LinksUpToDate>false</LinksUpToDate>
  <CharactersWithSpaces>1521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2022-01-07T03:13:00Z</cp:lastPrinted>
  <dcterms:modified xsi:type="dcterms:W3CDTF">2022-03-29T06:41:24Z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