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0" w:beforeAutospacing="0" w:after="0" w:afterAutospacing="0" w:line="600" w:lineRule="exact"/>
        <w:jc w:val="center"/>
        <w:rPr>
          <w:rStyle w:val="10"/>
          <w:rFonts w:ascii="黑体" w:eastAsia="黑体"/>
          <w:sz w:val="44"/>
          <w:szCs w:val="44"/>
        </w:rPr>
      </w:pPr>
      <w:r>
        <w:rPr>
          <w:rStyle w:val="8"/>
          <w:rFonts w:ascii="黑体" w:eastAsia="黑体" w:cs="宋体"/>
          <w:sz w:val="44"/>
          <w:szCs w:val="44"/>
        </w:rPr>
        <w:t>中国人民政治协商会议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sz w:val="44"/>
          <w:szCs w:val="44"/>
        </w:rPr>
      </w:pPr>
      <w:r>
        <w:rPr>
          <w:rStyle w:val="10"/>
          <w:sz w:val="44"/>
          <w:szCs w:val="44"/>
        </w:rPr>
        <w:t>黔东南苗族侗族自治州委员会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sz w:val="44"/>
          <w:szCs w:val="44"/>
        </w:rPr>
      </w:pPr>
      <w:r>
        <w:rPr>
          <w:rStyle w:val="10"/>
          <w:sz w:val="44"/>
          <w:szCs w:val="44"/>
        </w:rPr>
        <w:t>提案</w:t>
      </w:r>
    </w:p>
    <w:p>
      <w:pPr>
        <w:spacing w:line="320" w:lineRule="exact"/>
        <w:jc w:val="center"/>
        <w:textAlignment w:val="top"/>
        <w:rPr>
          <w:rStyle w:val="10"/>
          <w:rFonts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0"/>
          <w:rFonts w:ascii="宋体" w:hAnsi="宋体"/>
          <w:kern w:val="0"/>
          <w:sz w:val="24"/>
        </w:rPr>
      </w:pPr>
    </w:p>
    <w:p>
      <w:pPr>
        <w:spacing w:line="760" w:lineRule="exact"/>
        <w:textAlignment w:val="top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pict>
          <v:rect id="_x0000_s1028" o:spid="_x0000_s1028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none"/>
            <w10:anchorlock/>
          </v:rect>
        </w:pict>
      </w:r>
    </w:p>
    <w:p>
      <w:pPr>
        <w:spacing w:line="320" w:lineRule="exac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t>第十</w:t>
      </w:r>
      <w:r>
        <w:rPr>
          <w:rStyle w:val="10"/>
          <w:rFonts w:hint="eastAsia" w:ascii="宋体" w:hAnsi="宋体"/>
          <w:kern w:val="0"/>
          <w:sz w:val="24"/>
        </w:rPr>
        <w:t>三</w:t>
      </w:r>
      <w:r>
        <w:rPr>
          <w:rStyle w:val="10"/>
          <w:rFonts w:ascii="宋体" w:hAnsi="宋体"/>
          <w:kern w:val="0"/>
          <w:sz w:val="24"/>
        </w:rPr>
        <w:t>届第</w:t>
      </w:r>
      <w:r>
        <w:rPr>
          <w:rStyle w:val="10"/>
          <w:rFonts w:hint="eastAsia" w:ascii="宋体" w:hAnsi="宋体"/>
          <w:kern w:val="0"/>
          <w:sz w:val="24"/>
        </w:rPr>
        <w:t>一</w:t>
      </w:r>
      <w:r>
        <w:rPr>
          <w:rStyle w:val="10"/>
          <w:rFonts w:ascii="宋体" w:hAnsi="宋体"/>
          <w:kern w:val="0"/>
          <w:sz w:val="24"/>
        </w:rPr>
        <w:t>次会议　       　第</w:t>
      </w:r>
      <w:r>
        <w:rPr>
          <w:rStyle w:val="10"/>
          <w:rFonts w:hint="eastAsia" w:ascii="宋体" w:hAnsi="宋体"/>
          <w:kern w:val="0"/>
          <w:sz w:val="24"/>
        </w:rPr>
        <w:t>080</w:t>
      </w:r>
      <w:r>
        <w:rPr>
          <w:rStyle w:val="10"/>
          <w:rFonts w:ascii="宋体" w:hAnsi="宋体"/>
          <w:kern w:val="0"/>
          <w:sz w:val="24"/>
        </w:rPr>
        <w:t xml:space="preserve">号　    </w:t>
      </w:r>
      <w:r>
        <w:rPr>
          <w:rStyle w:val="10"/>
          <w:rFonts w:hint="eastAsia" w:ascii="宋体" w:hAnsi="宋体"/>
          <w:kern w:val="0"/>
          <w:sz w:val="24"/>
        </w:rPr>
        <w:t xml:space="preserve"> 类别：经济建设类     </w:t>
      </w:r>
    </w:p>
    <w:p>
      <w:pPr>
        <w:spacing w:line="320" w:lineRule="exact"/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pict>
          <v:rect id="_x0000_s1027" o:spid="_x0000_s1027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none"/>
            <w10:anchorlock/>
          </v:rect>
        </w:pict>
      </w:r>
    </w:p>
    <w:tbl>
      <w:tblPr>
        <w:tblStyle w:val="6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10"/>
                <w:rFonts w:hint="eastAsia" w:ascii="宋体" w:hAnsi="宋体" w:cs="宋体" w:eastAsiaTheme="minorEastAsia"/>
                <w:b/>
                <w:bCs/>
                <w:kern w:val="0"/>
                <w:sz w:val="24"/>
              </w:rPr>
              <w:t>关于共同推进绿色金融助力绿色经济高质量发展的建议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主办：州金融办    会办：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州人行、黔东南银保监分局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黑体" w:hAnsi="宋体" w:eastAsia="黑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/>
                <w:kern w:val="0"/>
                <w:sz w:val="24"/>
              </w:rPr>
              <w:t>封光荣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凯里市苗侗风情园贵州农信黔东南审计中心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556000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18166760586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州委办秘书五科：8270060；州政府办建议提案科：8260016；</w:t>
            </w:r>
          </w:p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州政协提案委：8428866。</w:t>
            </w:r>
          </w:p>
        </w:tc>
      </w:tr>
    </w:tbl>
    <w:p>
      <w:pPr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pict>
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none"/>
            <w10:anchorlock/>
          </v:rect>
        </w:pict>
      </w:r>
    </w:p>
    <w:p>
      <w:pPr>
        <w:spacing w:line="560" w:lineRule="exact"/>
        <w:rPr>
          <w:rStyle w:val="10"/>
          <w:rFonts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内容和办法：</w:t>
      </w:r>
    </w:p>
    <w:p>
      <w:pPr>
        <w:ind w:firstLine="627" w:firstLineChars="196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一、现状分析</w:t>
      </w:r>
    </w:p>
    <w:p>
      <w:pPr>
        <w:ind w:firstLine="627" w:firstLineChars="196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2021年2月3日至5日，习近平总书记到贵州视察时强调，优良生态环境是贵州最大的发展优势和竞争优势。要牢固树立生态优先、绿色发展的导向，统筹山水林田湖草系统治理，加大生态系统保护力度，科学推进石漠化、水土流失综合治理，不断做好绿水青山就是金山银山这篇大文章。因此，贵州坚持走好生态优先、绿色发展之路，是立足新发展阶段、贯彻新发展理念、构建新发展格局的必然要求。但我们也清醒看到，在疫情和经济下行的双重影响下，金融服务绿色经济发展还面临着较大困难和挑战，如：绿色产业政策引导上未发力、绿色信贷政策保障上未建立、绿色金融服务体系未健全和绿色金融税收优惠政策上未完善。针对目前绿色金融存在的突出问题，绿色金融体系亟须社会各方共同推进和完善。同时，农信社作为地方法人金融机构，我们紧紧围绕“四新”主攻“四化”，服务全省经济社会发展大局，切实加大绿色信贷投放力度，助力全省绿色经济高质量发展。</w:t>
      </w:r>
    </w:p>
    <w:p>
      <w:pPr>
        <w:ind w:firstLine="627" w:firstLineChars="196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二、工作建议</w:t>
      </w:r>
    </w:p>
    <w:p>
      <w:pPr>
        <w:ind w:firstLine="627" w:firstLineChars="196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第一，强化绿色政策宣传引导。</w:t>
      </w:r>
    </w:p>
    <w:p>
      <w:pPr>
        <w:ind w:firstLine="627" w:firstLineChars="196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在国家“大生态”政策和“十四五”规划指引下，以绿色为导向的产业发展迎来了快速发展期，围绕碳中和、碳达峰战略，各级各部门应加大绿色发展政策的宣传力度，构建持续、高效、快捷、准确的绿色评价体系，逐步将绿色指标纳入企业健康生产发展、获取金融机构信贷政策支持的关键考量。</w:t>
      </w:r>
    </w:p>
    <w:p>
      <w:pPr>
        <w:ind w:firstLine="627" w:firstLineChars="196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第二，健全绿色金融服务体系。</w:t>
      </w:r>
    </w:p>
    <w:p>
      <w:pPr>
        <w:ind w:firstLine="627" w:firstLineChars="196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针对当前绿色产业发展，要以围绕绿色产业高质量发展为核心，进一步建立健全绿色金融服务体系。一是信贷资金上重点向绿色产业倾斜，确保绿色企业最大限度获得绿色金融资金支持。二是绿色产业上做好项目评估评审工作，开通绿色产业申贷“绿色通道”，构建“快审快批”绿色审批机制。三是支付手段上畅通结算渠道，全方位推动绿色产业全产业链金融服务。四是抵押担保上创新担保方式，探索拓宽绿色资源抵押担保，真正将资源优势转化成发展优势，“绿水青山”转变成“金山银山”，助推贵州绿色产业不断发展壮大。</w:t>
      </w:r>
    </w:p>
    <w:p>
      <w:pPr>
        <w:ind w:firstLine="627" w:firstLineChars="196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第三，建立绿色发展保障机制。</w:t>
      </w:r>
    </w:p>
    <w:p>
      <w:pPr>
        <w:ind w:firstLine="627" w:firstLineChars="196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大力发展绿色金融已经是贵州各金融机构的普遍共识，但客观上我省许多绿色产业底子薄、发展后劲不足，缺乏有效保障机制，这在一定程度上制约了我省绿色经济的发展。因此，在发展绿色产业上，建议州政府从政策顶层设计上，考虑建立绿色发展资金池，为绿色信贷、绿色债券等企业融资提供担保，帮助企业降低融资成本。同时，建议州政府考虑建立金融机构绿色信贷风险补偿机制，从风险补偿金上、监管政策不良容忍度上、央行再贷款政策支持上、专项绿色信贷税收优惠上给予绿色金融机构支持与激励，通过政府政策驱动，进一步激发金融机构对绿色产业发展的信心和决心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643" w:firstLineChars="200"/>
        <w:rPr>
          <w:rStyle w:val="10"/>
          <w:rFonts w:ascii="仿宋" w:hAnsi="仿宋" w:eastAsia="仿宋" w:cs="仿宋"/>
          <w:kern w:val="0"/>
          <w:sz w:val="32"/>
          <w:szCs w:val="32"/>
        </w:rPr>
      </w:pPr>
      <w:r>
        <w:rPr>
          <w:rStyle w:val="10"/>
          <w:rFonts w:hint="eastAsia" w:ascii="黑体" w:hAnsi="黑体" w:eastAsia="黑体" w:cs="黑体"/>
          <w:b/>
          <w:bCs/>
          <w:kern w:val="0"/>
          <w:sz w:val="32"/>
          <w:szCs w:val="32"/>
        </w:rPr>
        <w:t>注：</w:t>
      </w:r>
      <w:r>
        <w:rPr>
          <w:rStyle w:val="10"/>
          <w:rFonts w:hint="eastAsia" w:ascii="仿宋" w:hAnsi="仿宋" w:eastAsia="仿宋" w:cs="仿宋"/>
          <w:kern w:val="0"/>
          <w:sz w:val="32"/>
          <w:szCs w:val="32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10"/>
          <w:rFonts w:ascii="仿宋" w:hAnsi="仿宋" w:eastAsia="仿宋" w:cs="仿宋"/>
          <w:kern w:val="0"/>
          <w:sz w:val="32"/>
          <w:szCs w:val="32"/>
        </w:rPr>
      </w:pPr>
      <w:r>
        <w:rPr>
          <w:rStyle w:val="10"/>
          <w:rFonts w:hint="eastAsia" w:ascii="仿宋" w:hAnsi="仿宋" w:eastAsia="仿宋" w:cs="仿宋"/>
          <w:kern w:val="0"/>
          <w:sz w:val="32"/>
          <w:szCs w:val="32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FB6911"/>
    <w:rsid w:val="00062089"/>
    <w:rsid w:val="001E1D16"/>
    <w:rsid w:val="002F6404"/>
    <w:rsid w:val="00372D70"/>
    <w:rsid w:val="004D0222"/>
    <w:rsid w:val="004E6BC5"/>
    <w:rsid w:val="00507FB8"/>
    <w:rsid w:val="00551F39"/>
    <w:rsid w:val="00554776"/>
    <w:rsid w:val="005F3292"/>
    <w:rsid w:val="00654375"/>
    <w:rsid w:val="007055DB"/>
    <w:rsid w:val="007B5B1C"/>
    <w:rsid w:val="007D1DFD"/>
    <w:rsid w:val="00840276"/>
    <w:rsid w:val="008A6967"/>
    <w:rsid w:val="008E32D7"/>
    <w:rsid w:val="008E5289"/>
    <w:rsid w:val="00901DF0"/>
    <w:rsid w:val="00A351EC"/>
    <w:rsid w:val="00A75BD7"/>
    <w:rsid w:val="00A94399"/>
    <w:rsid w:val="00A97C93"/>
    <w:rsid w:val="00B274CA"/>
    <w:rsid w:val="00C76ECC"/>
    <w:rsid w:val="00D123BF"/>
    <w:rsid w:val="00DD129A"/>
    <w:rsid w:val="00DF55E5"/>
    <w:rsid w:val="00EA1493"/>
    <w:rsid w:val="00FB6911"/>
    <w:rsid w:val="00FF3F01"/>
    <w:rsid w:val="06503351"/>
    <w:rsid w:val="07D26AFC"/>
    <w:rsid w:val="10B40BCC"/>
    <w:rsid w:val="118823F2"/>
    <w:rsid w:val="18EC1E64"/>
    <w:rsid w:val="1BAB45FA"/>
    <w:rsid w:val="21EA0B57"/>
    <w:rsid w:val="29EB237C"/>
    <w:rsid w:val="2FD84B80"/>
    <w:rsid w:val="30B878C9"/>
    <w:rsid w:val="33552650"/>
    <w:rsid w:val="377737A4"/>
    <w:rsid w:val="38D60616"/>
    <w:rsid w:val="3A7B4D73"/>
    <w:rsid w:val="3F1A5C90"/>
    <w:rsid w:val="42F10C9F"/>
    <w:rsid w:val="4A196944"/>
    <w:rsid w:val="4F6B5D70"/>
    <w:rsid w:val="4FDA0527"/>
    <w:rsid w:val="507F065A"/>
    <w:rsid w:val="5236789E"/>
    <w:rsid w:val="559F1A55"/>
    <w:rsid w:val="5A7C34BF"/>
    <w:rsid w:val="5AA17385"/>
    <w:rsid w:val="5B7C24C8"/>
    <w:rsid w:val="5E9F6D2C"/>
    <w:rsid w:val="61895CCF"/>
    <w:rsid w:val="640D7930"/>
    <w:rsid w:val="66F35DD9"/>
    <w:rsid w:val="6854075C"/>
    <w:rsid w:val="69A37ABB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qFormat/>
    <w:uiPriority w:val="0"/>
    <w:rPr>
      <w:sz w:val="18"/>
      <w:szCs w:val="18"/>
    </w:rPr>
  </w:style>
  <w:style w:type="paragraph" w:styleId="3">
    <w:name w:val="footer"/>
    <w:basedOn w:val="1"/>
    <w:link w:val="20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Hyperlink"/>
    <w:basedOn w:val="10"/>
    <w:semiHidden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Heading1"/>
    <w:basedOn w:val="1"/>
    <w:link w:val="17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Acetate"/>
    <w:basedOn w:val="1"/>
    <w:qFormat/>
    <w:uiPriority w:val="0"/>
    <w:rPr>
      <w:sz w:val="18"/>
      <w:szCs w:val="18"/>
    </w:rPr>
  </w:style>
  <w:style w:type="paragraph" w:customStyle="1" w:styleId="14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5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6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7">
    <w:name w:val="UserStyle_3"/>
    <w:basedOn w:val="10"/>
    <w:link w:val="11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UserStyle_4"/>
    <w:basedOn w:val="10"/>
    <w:qFormat/>
    <w:uiPriority w:val="0"/>
  </w:style>
  <w:style w:type="paragraph" w:customStyle="1" w:styleId="19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0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  <w:style w:type="character" w:customStyle="1" w:styleId="21">
    <w:name w:val="批注框文本 Char"/>
    <w:basedOn w:val="7"/>
    <w:link w:val="2"/>
    <w:qFormat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231</Words>
  <Characters>1318</Characters>
  <Lines>10</Lines>
  <Paragraphs>3</Paragraphs>
  <TotalTime>2</TotalTime>
  <ScaleCrop>false</ScaleCrop>
  <LinksUpToDate>false</LinksUpToDate>
  <CharactersWithSpaces>1546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2022-01-04T08:04:00Z</dcterms:created>
  <dc:creator>Administrator</dc:creator>
  <cp:lastModifiedBy>丘丘</cp:lastModifiedBy>
  <cp:lastPrinted>2021-02-26T02:55:00Z</cp:lastPrinted>
  <dcterms:modified xsi:type="dcterms:W3CDTF">2022-03-29T06:33:11Z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0BEFFA9D6DA34548976C4312CA596319</vt:lpwstr>
  </property>
</Properties>
</file>