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rFonts w:hint="eastAsia"/>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rFonts w:hint="eastAsia"/>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hint="eastAsia" w:ascii="宋体" w:hAnsi="宋体"/>
          <w:kern w:val="0"/>
          <w:sz w:val="24"/>
        </w:rPr>
      </w:pPr>
    </w:p>
    <w:p>
      <w:pPr>
        <w:spacing w:line="320" w:lineRule="exact"/>
        <w:jc w:val="center"/>
        <w:textAlignment w:val="top"/>
        <w:rPr>
          <w:rStyle w:val="9"/>
          <w:rFonts w:hint="eastAsia" w:ascii="宋体" w:hAnsi="宋体"/>
          <w:kern w:val="0"/>
          <w:sz w:val="24"/>
        </w:rPr>
      </w:pPr>
    </w:p>
    <w:p>
      <w:pPr>
        <w:spacing w:line="760" w:lineRule="exact"/>
        <w:jc w:val="both"/>
        <w:textAlignment w:val="top"/>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9"/>
          <w:rFonts w:hint="default" w:ascii="宋体" w:hAnsi="宋体" w:eastAsia="宋体"/>
          <w:kern w:val="0"/>
          <w:sz w:val="24"/>
          <w:lang w:val="en-US" w:eastAsia="zh-CN"/>
        </w:rPr>
      </w:pPr>
      <w:r>
        <w:rPr>
          <w:rStyle w:val="9"/>
          <w:rFonts w:ascii="宋体" w:hAnsi="宋体"/>
          <w:kern w:val="0"/>
          <w:sz w:val="24"/>
        </w:rPr>
        <w:t>第十</w:t>
      </w:r>
      <w:r>
        <w:rPr>
          <w:rStyle w:val="9"/>
          <w:rFonts w:hint="eastAsia" w:ascii="宋体" w:hAnsi="宋体"/>
          <w:kern w:val="0"/>
          <w:sz w:val="24"/>
          <w:lang w:val="en-US" w:eastAsia="zh-CN"/>
        </w:rPr>
        <w:t>三</w:t>
      </w:r>
      <w:r>
        <w:rPr>
          <w:rStyle w:val="9"/>
          <w:rFonts w:ascii="宋体" w:hAnsi="宋体"/>
          <w:kern w:val="0"/>
          <w:sz w:val="24"/>
        </w:rPr>
        <w:t>届第</w:t>
      </w:r>
      <w:r>
        <w:rPr>
          <w:rStyle w:val="9"/>
          <w:rFonts w:hint="eastAsia" w:ascii="宋体" w:hAnsi="宋体"/>
          <w:kern w:val="0"/>
          <w:sz w:val="24"/>
          <w:lang w:val="en-US" w:eastAsia="zh-CN"/>
        </w:rPr>
        <w:t>一</w:t>
      </w:r>
      <w:r>
        <w:rPr>
          <w:rStyle w:val="9"/>
          <w:rFonts w:ascii="宋体" w:hAnsi="宋体"/>
          <w:kern w:val="0"/>
          <w:sz w:val="24"/>
        </w:rPr>
        <w:t>次会议　       　第</w:t>
      </w:r>
      <w:r>
        <w:rPr>
          <w:rStyle w:val="9"/>
          <w:rFonts w:hint="eastAsia" w:ascii="宋体" w:hAnsi="宋体"/>
          <w:kern w:val="0"/>
          <w:sz w:val="24"/>
          <w:lang w:val="en-US" w:eastAsia="zh-CN"/>
        </w:rPr>
        <w:t>081</w:t>
      </w:r>
      <w:r>
        <w:rPr>
          <w:rStyle w:val="9"/>
          <w:rFonts w:ascii="宋体" w:hAnsi="宋体"/>
          <w:kern w:val="0"/>
          <w:sz w:val="24"/>
        </w:rPr>
        <w:t xml:space="preserve">号　    </w:t>
      </w:r>
      <w:r>
        <w:rPr>
          <w:rStyle w:val="9"/>
          <w:rFonts w:hint="eastAsia" w:ascii="宋体" w:hAnsi="宋体"/>
          <w:kern w:val="0"/>
          <w:sz w:val="24"/>
        </w:rPr>
        <w:t xml:space="preserve">    </w:t>
      </w:r>
      <w:r>
        <w:rPr>
          <w:rStyle w:val="9"/>
          <w:rFonts w:hint="eastAsia" w:ascii="宋体" w:hAnsi="宋体"/>
          <w:kern w:val="0"/>
          <w:sz w:val="24"/>
          <w:lang w:val="en-US" w:eastAsia="zh-CN"/>
        </w:rPr>
        <w:t xml:space="preserve"> 类别：政治建设类     </w:t>
      </w:r>
    </w:p>
    <w:p>
      <w:pPr>
        <w:spacing w:line="320" w:lineRule="exact"/>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ascii="宋体" w:hAnsi="宋体" w:cs="宋体"/>
                <w:b/>
                <w:bCs/>
                <w:kern w:val="0"/>
                <w:sz w:val="24"/>
              </w:rPr>
            </w:pPr>
            <w:r>
              <w:rPr>
                <w:rStyle w:val="9"/>
                <w:rFonts w:hint="eastAsia" w:ascii="宋体" w:hAnsi="宋体" w:cs="宋体" w:eastAsiaTheme="minorEastAsia"/>
                <w:b/>
                <w:bCs/>
                <w:kern w:val="0"/>
                <w:sz w:val="24"/>
              </w:rPr>
              <w:t>关于加快建立健全中小金融机构重大金融风险救助机制的建议</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lang w:eastAsia="zh-CN"/>
              </w:rPr>
              <w:t>主办：</w:t>
            </w:r>
            <w:r>
              <w:rPr>
                <w:rStyle w:val="9"/>
                <w:rFonts w:hint="eastAsia" w:ascii="宋体" w:hAnsi="宋体"/>
                <w:kern w:val="0"/>
                <w:sz w:val="24"/>
                <w:lang w:val="en-US" w:eastAsia="zh-CN"/>
              </w:rPr>
              <w:t>州金融办 会办：州人行、黔东南银保监分局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highlight w:val="none"/>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c>
          <w:tcPr>
            <w:tcW w:w="1753" w:type="dxa"/>
            <w:vAlign w:val="center"/>
          </w:tcPr>
          <w:p>
            <w:pPr>
              <w:jc w:val="left"/>
              <w:rPr>
                <w:rStyle w:val="9"/>
                <w:rFonts w:ascii="宋体" w:hAnsi="宋体"/>
                <w:kern w:val="0"/>
                <w:sz w:val="24"/>
              </w:rPr>
            </w:pPr>
            <w:r>
              <w:rPr>
                <w:rStyle w:val="9"/>
                <w:rFonts w:hint="eastAsia" w:ascii="宋体" w:hAnsi="宋体"/>
                <w:kern w:val="0"/>
                <w:sz w:val="24"/>
              </w:rPr>
              <w:t>封光荣</w:t>
            </w:r>
          </w:p>
        </w:tc>
        <w:tc>
          <w:tcPr>
            <w:tcW w:w="3872" w:type="dxa"/>
            <w:vAlign w:val="center"/>
          </w:tcPr>
          <w:p>
            <w:pPr>
              <w:jc w:val="left"/>
              <w:rPr>
                <w:rStyle w:val="9"/>
                <w:rFonts w:hint="eastAsia" w:ascii="宋体" w:hAnsi="宋体" w:eastAsia="宋体"/>
                <w:kern w:val="0"/>
                <w:sz w:val="24"/>
                <w:lang w:val="en-US" w:eastAsia="zh-CN"/>
              </w:rPr>
            </w:pPr>
            <w:r>
              <w:rPr>
                <w:rStyle w:val="9"/>
                <w:rFonts w:hint="eastAsia" w:ascii="宋体" w:hAnsi="宋体" w:eastAsia="宋体"/>
                <w:kern w:val="0"/>
                <w:sz w:val="24"/>
                <w:lang w:val="en-US" w:eastAsia="zh-CN"/>
              </w:rPr>
              <w:t>凯里市苗侗风情园贵州农信黔东南审计中心</w:t>
            </w:r>
          </w:p>
        </w:tc>
        <w:tc>
          <w:tcPr>
            <w:tcW w:w="1440" w:type="dxa"/>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rPr>
              <w:t>556</w:t>
            </w:r>
            <w:r>
              <w:rPr>
                <w:rStyle w:val="9"/>
                <w:rFonts w:hint="eastAsia" w:ascii="宋体" w:hAnsi="宋体"/>
                <w:kern w:val="0"/>
                <w:sz w:val="24"/>
                <w:lang w:val="en-US" w:eastAsia="zh-CN"/>
              </w:rPr>
              <w:t>000</w:t>
            </w:r>
          </w:p>
        </w:tc>
        <w:tc>
          <w:tcPr>
            <w:tcW w:w="1485" w:type="dxa"/>
            <w:vAlign w:val="center"/>
          </w:tcPr>
          <w:p>
            <w:pPr>
              <w:jc w:val="left"/>
              <w:rPr>
                <w:rStyle w:val="9"/>
                <w:rFonts w:hint="default" w:ascii="宋体" w:hAnsi="宋体" w:eastAsia="宋体"/>
                <w:kern w:val="0"/>
                <w:sz w:val="24"/>
                <w:lang w:val="en-US" w:eastAsia="zh-CN"/>
              </w:rPr>
            </w:pPr>
            <w:r>
              <w:rPr>
                <w:rStyle w:val="9"/>
                <w:rFonts w:hint="default" w:ascii="宋体" w:hAnsi="宋体" w:eastAsia="宋体"/>
                <w:kern w:val="0"/>
                <w:sz w:val="24"/>
                <w:lang w:val="en-US" w:eastAsia="zh-CN"/>
              </w:rPr>
              <w:t>18166760586</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eastAsia="宋体"/>
                <w:kern w:val="0"/>
                <w:sz w:val="24"/>
                <w:lang w:eastAsia="zh-CN"/>
              </w:rPr>
            </w:pPr>
            <w:r>
              <w:rPr>
                <w:rStyle w:val="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9"/>
                <w:rFonts w:hint="eastAsia" w:ascii="宋体" w:hAnsi="宋体"/>
                <w:kern w:val="0"/>
                <w:sz w:val="24"/>
                <w:lang w:val="en-US" w:eastAsia="zh-CN"/>
              </w:rPr>
            </w:pPr>
            <w:r>
              <w:rPr>
                <w:rStyle w:val="9"/>
                <w:rFonts w:hint="eastAsia" w:ascii="宋体" w:hAnsi="宋体"/>
                <w:kern w:val="0"/>
                <w:sz w:val="24"/>
                <w:lang w:eastAsia="zh-CN"/>
              </w:rPr>
              <w:t>州委办秘书五科：</w:t>
            </w:r>
            <w:r>
              <w:rPr>
                <w:rStyle w:val="9"/>
                <w:rFonts w:hint="eastAsia" w:ascii="宋体" w:hAnsi="宋体"/>
                <w:kern w:val="0"/>
                <w:sz w:val="24"/>
                <w:lang w:val="en-US" w:eastAsia="zh-CN"/>
              </w:rPr>
              <w:t>8270060；</w:t>
            </w:r>
            <w:r>
              <w:rPr>
                <w:rStyle w:val="9"/>
                <w:rFonts w:hint="eastAsia" w:ascii="宋体" w:hAnsi="宋体"/>
                <w:kern w:val="0"/>
                <w:sz w:val="24"/>
                <w:lang w:eastAsia="zh-CN"/>
              </w:rPr>
              <w:t>州政府办建议提案科：</w:t>
            </w:r>
            <w:r>
              <w:rPr>
                <w:rStyle w:val="9"/>
                <w:rFonts w:hint="eastAsia" w:ascii="宋体" w:hAnsi="宋体"/>
                <w:kern w:val="0"/>
                <w:sz w:val="24"/>
                <w:lang w:val="en-US" w:eastAsia="zh-CN"/>
              </w:rPr>
              <w:t>8260016；</w:t>
            </w:r>
          </w:p>
          <w:p>
            <w:pPr>
              <w:jc w:val="left"/>
              <w:rPr>
                <w:rStyle w:val="9"/>
                <w:rFonts w:hint="default" w:ascii="宋体" w:hAnsi="宋体"/>
                <w:kern w:val="0"/>
                <w:sz w:val="24"/>
                <w:lang w:val="en-US"/>
              </w:rPr>
            </w:pPr>
            <w:r>
              <w:rPr>
                <w:rStyle w:val="9"/>
                <w:rFonts w:hint="eastAsia" w:ascii="宋体" w:hAnsi="宋体"/>
                <w:kern w:val="0"/>
                <w:sz w:val="24"/>
                <w:lang w:eastAsia="zh-CN"/>
              </w:rPr>
              <w:t>州政协提案委：</w:t>
            </w:r>
            <w:r>
              <w:rPr>
                <w:rStyle w:val="9"/>
                <w:rFonts w:hint="eastAsia" w:ascii="宋体" w:hAnsi="宋体"/>
                <w:kern w:val="0"/>
                <w:sz w:val="24"/>
                <w:lang w:val="en-US" w:eastAsia="zh-CN"/>
              </w:rPr>
              <w:t>8428866</w:t>
            </w:r>
            <w:r>
              <w:rPr>
                <w:rStyle w:val="9"/>
                <w:rFonts w:hint="eastAsia" w:ascii="宋体" w:hAnsi="宋体"/>
                <w:kern w:val="0"/>
                <w:sz w:val="24"/>
                <w:lang w:eastAsia="zh-CN"/>
              </w:rPr>
              <w:t>。</w:t>
            </w:r>
          </w:p>
        </w:tc>
      </w:tr>
    </w:tbl>
    <w:p>
      <w:pPr>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9"/>
          <w:rFonts w:hint="eastAsia" w:ascii="仿宋_GB2312" w:hAnsi="宋体" w:eastAsia="仿宋_GB2312"/>
          <w:kern w:val="0"/>
          <w:sz w:val="32"/>
          <w:szCs w:val="32"/>
        </w:rPr>
      </w:pPr>
      <w:r>
        <w:rPr>
          <w:rStyle w:val="9"/>
          <w:rFonts w:hint="eastAsia" w:ascii="仿宋_GB2312" w:hAnsi="宋体" w:eastAsia="仿宋_GB2312"/>
          <w:kern w:val="0"/>
          <w:sz w:val="32"/>
          <w:szCs w:val="32"/>
        </w:rPr>
        <w:t>内容和办法</w:t>
      </w:r>
      <w:r>
        <w:rPr>
          <w:rStyle w:val="9"/>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习近平总书记多次强调，金融是现代经济的核心，是实体经济的血脉；金融活经济活，金融稳经济稳；金融安全是国家经济安全的重要组成部分，维护金融安全是关系我国经济社会发展全局的一件带有战略性、根本性的大事。当前，农村中小金融机构因单户贷款余额较大，加之疫情及经济下行影响，存量业务优化不及时或资本补充效果不明显，导致指标超标，加之不良贷款抵押物处置难、处置巨额税费、诉讼周期长等因素，导致主要监管指标下滑而滑入高风险机构。因此，建立健全中小金融机构重大金融风险救助机制尤为重要。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由于部分中小金融机构当前风险积聚，周期性、结构性、体制性等诸多因素混杂在一起并交互作用，必须立足于系统应对、主动防范和标本兼治，着力提高风险识别和控制的有效性。在政策允许情况下，请求州政府在抵债资产处置上适当给予部分税费减免，以此加速推进施秉金鼎村镇银行风险处置工作，恢复正常经营能力，维护社会稳定。</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二、建立健全贷款风险补偿共担机制，按市场化法治化原则对出现暂时困难的优质企业进行梳理，给予优质企业更</w:t>
      </w:r>
      <w:r>
        <w:rPr>
          <w:rFonts w:hint="eastAsia" w:ascii="仿宋" w:hAnsi="仿宋" w:eastAsia="仿宋" w:cs="仿宋"/>
          <w:color w:val="333333"/>
          <w:sz w:val="32"/>
          <w:szCs w:val="32"/>
          <w:highlight w:val="none"/>
          <w:shd w:val="clear" w:color="auto" w:fill="FFFFFF"/>
          <w:lang w:val="en-US" w:eastAsia="zh-CN"/>
        </w:rPr>
        <w:t>有力地扶持</w:t>
      </w:r>
      <w:r>
        <w:rPr>
          <w:rFonts w:hint="eastAsia" w:ascii="仿宋" w:hAnsi="仿宋" w:eastAsia="仿宋" w:cs="仿宋"/>
          <w:color w:val="333333"/>
          <w:sz w:val="32"/>
          <w:szCs w:val="32"/>
          <w:shd w:val="clear" w:color="auto" w:fill="FFFFFF"/>
          <w:lang w:val="en-US" w:eastAsia="zh-CN"/>
        </w:rPr>
        <w:t>，度过当前难关，走上发展道路。</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进一步扩展农村中小金融机构资本金来源，坚守资本充足率底线，将贷款能力约束在资本保障区间内；坚决打击恶意逃废债行为，维护农村中小金融机构的权益和资金的流动性；帮助化解流动性风险，增强自身抗风险能力，避免引发系统性风险，建议州政府协调组织部分财政存款和对公存款存入农村中小金融机构，提升自我造血功能，帮助其逐步走上可持续发展的道路。</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9"/>
          <w:rFonts w:hint="eastAsia" w:ascii="仿宋" w:hAnsi="仿宋" w:eastAsia="仿宋" w:cs="仿宋"/>
          <w:kern w:val="0"/>
          <w:sz w:val="32"/>
          <w:szCs w:val="32"/>
          <w:lang w:val="en-US" w:eastAsia="zh-CN"/>
        </w:rPr>
      </w:pPr>
      <w:r>
        <w:rPr>
          <w:rStyle w:val="9"/>
          <w:rFonts w:hint="eastAsia" w:ascii="黑体" w:hAnsi="黑体" w:eastAsia="黑体" w:cs="黑体"/>
          <w:b/>
          <w:bCs/>
          <w:kern w:val="0"/>
          <w:sz w:val="32"/>
          <w:szCs w:val="32"/>
          <w:lang w:val="en-US" w:eastAsia="zh-CN"/>
        </w:rPr>
        <w:t>注：</w:t>
      </w:r>
      <w:r>
        <w:rPr>
          <w:rStyle w:val="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9"/>
          <w:rFonts w:hint="default" w:ascii="仿宋" w:hAnsi="仿宋" w:eastAsia="仿宋" w:cs="仿宋"/>
          <w:kern w:val="0"/>
          <w:sz w:val="32"/>
          <w:szCs w:val="32"/>
          <w:lang w:val="en-US" w:eastAsia="zh-CN"/>
        </w:rPr>
      </w:pPr>
      <w:r>
        <w:rPr>
          <w:rStyle w:val="9"/>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10B40BCC"/>
    <w:rsid w:val="10F40BE4"/>
    <w:rsid w:val="118823F2"/>
    <w:rsid w:val="18EC1E64"/>
    <w:rsid w:val="1A917DD9"/>
    <w:rsid w:val="1BAB45FA"/>
    <w:rsid w:val="21EA0B57"/>
    <w:rsid w:val="29EB237C"/>
    <w:rsid w:val="2FD84B80"/>
    <w:rsid w:val="30B878C9"/>
    <w:rsid w:val="33552650"/>
    <w:rsid w:val="377737A4"/>
    <w:rsid w:val="38D60616"/>
    <w:rsid w:val="38E6072A"/>
    <w:rsid w:val="3A7B4D73"/>
    <w:rsid w:val="3F1A5C90"/>
    <w:rsid w:val="42F10C9F"/>
    <w:rsid w:val="43953D03"/>
    <w:rsid w:val="4A196944"/>
    <w:rsid w:val="4E3146FA"/>
    <w:rsid w:val="4F6B5D70"/>
    <w:rsid w:val="507F065A"/>
    <w:rsid w:val="52263247"/>
    <w:rsid w:val="5236789E"/>
    <w:rsid w:val="559F1A55"/>
    <w:rsid w:val="58167D2D"/>
    <w:rsid w:val="5902530C"/>
    <w:rsid w:val="5A7C34BF"/>
    <w:rsid w:val="5AA17385"/>
    <w:rsid w:val="5B7C24C8"/>
    <w:rsid w:val="5C342431"/>
    <w:rsid w:val="617E5CD0"/>
    <w:rsid w:val="61895CCF"/>
    <w:rsid w:val="61C325AD"/>
    <w:rsid w:val="62384D4B"/>
    <w:rsid w:val="64010D57"/>
    <w:rsid w:val="66F35DD9"/>
    <w:rsid w:val="6854075C"/>
    <w:rsid w:val="69A37ABB"/>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3</TotalTime>
  <ScaleCrop>false</ScaleCrop>
  <LinksUpToDate>false</LinksUpToDate>
  <CharactersWithSpaces>2054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2022-01-05T01:26:00Z</cp:lastPrinted>
  <dcterms:modified xsi:type="dcterms:W3CDTF">2022-03-29T06:33:36Z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