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1"/>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1"/>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092</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类别：生态文明建设类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top"/>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baseline"/>
              <w:rPr>
                <w:rStyle w:val="10"/>
                <w:rFonts w:ascii="宋体" w:hAnsi="宋体" w:cs="宋体"/>
                <w:b/>
                <w:bCs/>
                <w:kern w:val="0"/>
                <w:sz w:val="24"/>
              </w:rPr>
            </w:pPr>
            <w:r>
              <w:rPr>
                <w:rFonts w:hint="eastAsia" w:ascii="Times New Roman" w:hAnsi="Times New Roman" w:cs="Times New Roman"/>
                <w:b/>
                <w:bCs/>
                <w:kern w:val="0"/>
                <w:sz w:val="24"/>
                <w:lang w:val="en-US" w:eastAsia="zh-CN"/>
              </w:rPr>
              <w:t>关于严防外来固体废料进入黔东南并合理处置州内固体废料的建议</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主办：州</w:t>
            </w:r>
            <w:r>
              <w:rPr>
                <w:rStyle w:val="10"/>
                <w:rFonts w:hint="eastAsia" w:ascii="宋体" w:hAnsi="宋体"/>
                <w:kern w:val="0"/>
                <w:sz w:val="24"/>
                <w:lang w:val="en-US" w:eastAsia="zh-CN"/>
              </w:rPr>
              <w:t>环保局    会办：州工信局、州住建局</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widowControl/>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唐荣成</w:t>
            </w:r>
          </w:p>
        </w:tc>
        <w:tc>
          <w:tcPr>
            <w:tcW w:w="3872" w:type="dxa"/>
            <w:vAlign w:val="center"/>
          </w:tcPr>
          <w:p>
            <w:pPr>
              <w:widowControl/>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民盟黔东南州工委</w:t>
            </w:r>
          </w:p>
        </w:tc>
        <w:tc>
          <w:tcPr>
            <w:tcW w:w="1440" w:type="dxa"/>
            <w:vAlign w:val="center"/>
          </w:tcPr>
          <w:p>
            <w:pPr>
              <w:widowControl/>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 556000</w:t>
            </w:r>
          </w:p>
        </w:tc>
        <w:tc>
          <w:tcPr>
            <w:tcW w:w="1485" w:type="dxa"/>
            <w:vAlign w:val="center"/>
          </w:tcPr>
          <w:p>
            <w:pPr>
              <w:widowControl/>
              <w:jc w:val="left"/>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13595552222</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w:t>
            </w:r>
            <w:r>
              <w:rPr>
                <w:rStyle w:val="10"/>
                <w:rFonts w:hint="eastAsia" w:ascii="宋体" w:hAnsi="宋体"/>
                <w:kern w:val="0"/>
                <w:sz w:val="24"/>
                <w:lang w:val="en-US" w:eastAsia="zh-CN"/>
              </w:rPr>
              <w:t>秘书五</w:t>
            </w:r>
            <w:r>
              <w:rPr>
                <w:rStyle w:val="10"/>
                <w:rFonts w:hint="eastAsia" w:ascii="宋体" w:hAnsi="宋体"/>
                <w:kern w:val="0"/>
                <w:sz w:val="24"/>
                <w:lang w:eastAsia="zh-CN"/>
              </w:rPr>
              <w:t>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为坚决守住发展和生态两条底线，建议：严防一些地区化工产生的垃圾经固化处理后进入黔东南。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固体废物垃圾填埋场的建设对地质环境要求高，发生事故后对生态环境和地下水环境造成影响严重。一般的建筑垃圾填埋场和生活垃圾填埋场不具备接收处置固体废物能力，黔东南州内目前没有大型固体废物垃圾填埋场，炉山工业园区内仅有的一个固废填埋场目前已经满库容，无法满足州内固体废物填埋处置需要，我州现有弃土场及垃圾填埋场不具备接纳外来固体废物处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了解，2019年来我州下辖部分县级环保部门批准了部分弃土场接纳省外固体废物填埋，但在前期的弃土场建设中未按照固体废物处置进行弃土场设计，基本沿用原有建筑垃圾填埋场的工艺，这样的垃圾填埋场不具备接纳固体废物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建议：一是严防外来固废垃圾进入我州任何生活垃圾填埋场、建筑垃圾填埋场；二是未来工业建设将产生大量固体废物，州内应该尽早选择合适环境，建设固体垃圾填埋场，对州内固体废物进行合理处置。</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p>
      <w:pPr>
        <w:rPr>
          <w:rFonts w:hint="default" w:ascii="Times New Roman" w:hAnsi="Times New Roman" w:cs="Times New Roman"/>
          <w:kern w:val="0"/>
          <w:sz w:val="24"/>
          <w:lang w:val="en-US" w:eastAsia="zh-CN"/>
        </w:rPr>
      </w:pPr>
    </w:p>
    <w:p>
      <w:pPr>
        <w:rPr>
          <w:rFonts w:hint="default" w:eastAsiaTheme="minorEastAsia"/>
          <w:lang w:val="en-US" w:eastAsia="zh-CN"/>
        </w:rPr>
      </w:pPr>
    </w:p>
    <w:p>
      <w:pPr>
        <w:rPr>
          <w:rFonts w:hint="default" w:ascii="Times New Roman" w:hAnsi="Times New Roman" w:cs="Times New Roman"/>
          <w:b/>
          <w:bCs/>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1FD7"/>
    <w:rsid w:val="0CFE799B"/>
    <w:rsid w:val="1036740B"/>
    <w:rsid w:val="65AB5FB0"/>
    <w:rsid w:val="7E73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color w:val="000000"/>
    </w:rPr>
  </w:style>
  <w:style w:type="paragraph" w:styleId="3">
    <w:name w:val="footer"/>
    <w:basedOn w:val="1"/>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paragraph" w:customStyle="1" w:styleId="9">
    <w:name w:val="UserStyle_2"/>
    <w:basedOn w:val="1"/>
    <w:qFormat/>
    <w:uiPriority w:val="0"/>
    <w:pPr>
      <w:spacing w:before="100" w:beforeAutospacing="1" w:after="100" w:afterAutospacing="1"/>
      <w:jc w:val="left"/>
    </w:pPr>
    <w:rPr>
      <w:rFonts w:ascii="宋体" w:hAnsi="宋体"/>
      <w:kern w:val="0"/>
      <w:sz w:val="24"/>
    </w:rPr>
  </w:style>
  <w:style w:type="character" w:customStyle="1" w:styleId="10">
    <w:name w:val="NormalCharacter"/>
    <w:semiHidden/>
    <w:qFormat/>
    <w:uiPriority w:val="0"/>
  </w:style>
  <w:style w:type="paragraph" w:customStyle="1" w:styleId="11">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丘丘</cp:lastModifiedBy>
  <cp:lastPrinted>2022-01-08T05:06:12Z</cp:lastPrinted>
  <dcterms:modified xsi:type="dcterms:W3CDTF">2022-01-08T05:06:37Z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18C5A658A32A458A96BD857CAA807465</vt:lpwstr>
  </property>
</Properties>
</file>