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p>
    <w:p>
      <w:pPr>
        <w:pStyle w:val="19"/>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9"/>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078</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类别：政治建设类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Style w:val="13"/>
                <w:rFonts w:hint="eastAsia" w:ascii="宋体" w:hAnsi="宋体" w:cs="宋体"/>
                <w:b/>
                <w:bCs/>
                <w:kern w:val="0"/>
                <w:sz w:val="24"/>
              </w:rPr>
              <w:t>关于支持州内医药企业在州内医疗单位开户的建议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eastAsia="zh-CN"/>
              </w:rPr>
              <w:t>主办：</w:t>
            </w:r>
            <w:r>
              <w:rPr>
                <w:rFonts w:hint="eastAsia" w:ascii="宋体" w:hAnsi="宋体" w:cs="宋体"/>
                <w:kern w:val="0"/>
                <w:sz w:val="24"/>
                <w:lang w:eastAsia="zh-CN"/>
              </w:rPr>
              <w:t>州卫健局</w:t>
            </w:r>
            <w:r>
              <w:rPr>
                <w:rStyle w:val="13"/>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ascii="宋体" w:hAnsi="宋体" w:eastAsia="黑体" w:cs="宋体"/>
                <w:b/>
                <w:bCs/>
                <w:kern w:val="0"/>
                <w:sz w:val="24"/>
              </w:rPr>
              <w:t> </w:t>
            </w:r>
            <w:r>
              <w:rPr>
                <w:rStyle w:val="13"/>
                <w:rFonts w:ascii="黑体" w:hAnsi="宋体" w:eastAsia="黑体" w:cs="宋体"/>
                <w:b/>
                <w:bCs/>
                <w:kern w:val="0"/>
                <w:sz w:val="24"/>
              </w:rPr>
              <w:t>案人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highlight w:val="none"/>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c>
          <w:tcPr>
            <w:tcW w:w="1753" w:type="dxa"/>
            <w:vAlign w:val="center"/>
          </w:tcPr>
          <w:p>
            <w:pPr>
              <w:widowControl/>
              <w:jc w:val="left"/>
              <w:rPr>
                <w:rStyle w:val="13"/>
                <w:rFonts w:hint="eastAsia" w:ascii="宋体" w:hAnsi="宋体" w:eastAsia="宋体"/>
                <w:kern w:val="0"/>
                <w:sz w:val="24"/>
                <w:szCs w:val="22"/>
                <w:lang w:val="en-US" w:eastAsia="zh-CN"/>
              </w:rPr>
            </w:pPr>
            <w:bookmarkStart w:id="0" w:name="_GoBack"/>
            <w:r>
              <w:rPr>
                <w:rStyle w:val="13"/>
                <w:rFonts w:hint="eastAsia" w:ascii="宋体" w:hAnsi="宋体" w:eastAsia="宋体"/>
                <w:kern w:val="0"/>
                <w:sz w:val="24"/>
                <w:szCs w:val="22"/>
                <w:lang w:val="en-US" w:eastAsia="zh-CN"/>
              </w:rPr>
              <w:t>刘杰</w:t>
            </w:r>
            <w:bookmarkEnd w:id="0"/>
          </w:p>
        </w:tc>
        <w:tc>
          <w:tcPr>
            <w:tcW w:w="3872"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贵州一树吉大夫健康药房连锁有限公司</w:t>
            </w:r>
          </w:p>
        </w:tc>
        <w:tc>
          <w:tcPr>
            <w:tcW w:w="1440"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55</w:t>
            </w:r>
            <w:r>
              <w:rPr>
                <w:rStyle w:val="13"/>
                <w:rFonts w:hint="eastAsia" w:ascii="宋体" w:hAnsi="宋体"/>
                <w:kern w:val="0"/>
                <w:sz w:val="24"/>
                <w:szCs w:val="22"/>
                <w:lang w:val="en-US" w:eastAsia="zh-CN"/>
              </w:rPr>
              <w:t>6000</w:t>
            </w:r>
          </w:p>
        </w:tc>
        <w:tc>
          <w:tcPr>
            <w:tcW w:w="1485" w:type="dxa"/>
            <w:vAlign w:val="center"/>
          </w:tcPr>
          <w:p>
            <w:pPr>
              <w:widowControl/>
              <w:jc w:val="left"/>
              <w:rPr>
                <w:rStyle w:val="13"/>
                <w:rFonts w:hint="default" w:ascii="宋体" w:hAnsi="宋体" w:eastAsia="宋体"/>
                <w:kern w:val="0"/>
                <w:sz w:val="24"/>
                <w:szCs w:val="22"/>
                <w:lang w:val="en-US" w:eastAsia="zh-CN"/>
              </w:rPr>
            </w:pPr>
            <w:r>
              <w:rPr>
                <w:rStyle w:val="13"/>
                <w:rFonts w:hint="default" w:ascii="宋体" w:hAnsi="宋体" w:eastAsia="宋体"/>
                <w:kern w:val="0"/>
                <w:sz w:val="24"/>
                <w:szCs w:val="22"/>
                <w:lang w:val="en-US" w:eastAsia="zh-CN"/>
              </w:rPr>
              <w:t>13708556989</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我州现有中药材生产企业共13家，中药材种植企业及合作社300多家，种植面积30万余亩，主要以钩藤、黄精、白及、天麻、灵芝、铁皮石斛等本地原有药材为主。直接带动农户就业近10万余人，在脱贫攻坚阶段曾作出重大的贡献。由于我州目前还未出台本地医疗机构应优先采购州内企业生产或销售的中药材产品，使我们大多数本地中药材生产或销售企业产品滞销、积压严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州内的各医疗机构可能因某些个人利益或其他不得而知的原因，不肯接受本地中药材企业在其单位销售开户。为了帮扶我们本地企业、支持我们本地企业度过难关，以后能更好的发展，也为了税收不外流增强财税实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州委州政府出台相关鼓励政策，引导州内各医疗机构积极的为本地中药材生产或销售企业参加到单位中药材采购竞争中来。既振兴本地中药材产业，也增加了州内就业和税收。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例如:2019年，上海市发布政策，上海市所有国有医疗单位使用的中药饮片及制品，必须是注册地在上海市内的中药生产企业的产品，以便于产品质量的统一监控。同年，湖南省亦出台相关文件支持本省企业。虽然我们州经济还不太发达，但是我们有着民族自治的优势，应该效仿其他地方相关政策，支持本地市场主体能够参与公平竞争。</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137C9"/>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8DF7FD3"/>
    <w:rsid w:val="0CFE2127"/>
    <w:rsid w:val="0E6211D8"/>
    <w:rsid w:val="10B40BCC"/>
    <w:rsid w:val="10F40BE4"/>
    <w:rsid w:val="118823F2"/>
    <w:rsid w:val="14B55B05"/>
    <w:rsid w:val="14FB1B14"/>
    <w:rsid w:val="169647CD"/>
    <w:rsid w:val="17952A0B"/>
    <w:rsid w:val="188C1484"/>
    <w:rsid w:val="18EC1E64"/>
    <w:rsid w:val="1A917DD9"/>
    <w:rsid w:val="1BAB45FA"/>
    <w:rsid w:val="1C3D0309"/>
    <w:rsid w:val="20790890"/>
    <w:rsid w:val="209D5BC6"/>
    <w:rsid w:val="21EA0B57"/>
    <w:rsid w:val="255649A8"/>
    <w:rsid w:val="26A31BEB"/>
    <w:rsid w:val="278B5D37"/>
    <w:rsid w:val="285B3E37"/>
    <w:rsid w:val="29516A7C"/>
    <w:rsid w:val="29EB237C"/>
    <w:rsid w:val="2B91741D"/>
    <w:rsid w:val="2C125075"/>
    <w:rsid w:val="2D1C2FCE"/>
    <w:rsid w:val="2DED1791"/>
    <w:rsid w:val="2E26699A"/>
    <w:rsid w:val="2FD84B80"/>
    <w:rsid w:val="30B878C9"/>
    <w:rsid w:val="30C355A4"/>
    <w:rsid w:val="312C2212"/>
    <w:rsid w:val="33552650"/>
    <w:rsid w:val="36DF2C6D"/>
    <w:rsid w:val="377737A4"/>
    <w:rsid w:val="38512AAE"/>
    <w:rsid w:val="38D60616"/>
    <w:rsid w:val="38E6072A"/>
    <w:rsid w:val="3A7B4D73"/>
    <w:rsid w:val="3F1A5C90"/>
    <w:rsid w:val="3F9241D0"/>
    <w:rsid w:val="42F10C9F"/>
    <w:rsid w:val="43953D03"/>
    <w:rsid w:val="44AF3CA3"/>
    <w:rsid w:val="44BC15A0"/>
    <w:rsid w:val="470F7444"/>
    <w:rsid w:val="48BF0ACA"/>
    <w:rsid w:val="48F66091"/>
    <w:rsid w:val="4A196944"/>
    <w:rsid w:val="4AFB1C7E"/>
    <w:rsid w:val="4D04300E"/>
    <w:rsid w:val="4E0963F8"/>
    <w:rsid w:val="4E6A17E5"/>
    <w:rsid w:val="4F6B5D70"/>
    <w:rsid w:val="50361239"/>
    <w:rsid w:val="507F065A"/>
    <w:rsid w:val="51B406C1"/>
    <w:rsid w:val="52263247"/>
    <w:rsid w:val="5236789E"/>
    <w:rsid w:val="52594BAC"/>
    <w:rsid w:val="5497004A"/>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2CB18FB"/>
    <w:rsid w:val="64010D57"/>
    <w:rsid w:val="66F35DD9"/>
    <w:rsid w:val="67210F58"/>
    <w:rsid w:val="67AD6576"/>
    <w:rsid w:val="6854075C"/>
    <w:rsid w:val="69A37ABB"/>
    <w:rsid w:val="6A9524E1"/>
    <w:rsid w:val="6AA44A20"/>
    <w:rsid w:val="6DA7783B"/>
    <w:rsid w:val="72A61A44"/>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semiHidden/>
    <w:qFormat/>
    <w:uiPriority w:val="0"/>
    <w:pPr>
      <w:spacing w:after="0"/>
      <w:ind w:left="420" w:leftChars="200"/>
      <w:jc w:val="both"/>
      <w:textAlignment w:val="baseline"/>
    </w:pPr>
  </w:style>
  <w:style w:type="paragraph" w:styleId="3">
    <w:name w:val="Body Text"/>
    <w:basedOn w:val="1"/>
    <w:qFormat/>
    <w:uiPriority w:val="0"/>
  </w:style>
  <w:style w:type="paragraph" w:styleId="4">
    <w:name w:val="Block Text"/>
    <w:basedOn w:val="1"/>
    <w:unhideWhenUsed/>
    <w:qFormat/>
    <w:uiPriority w:val="99"/>
    <w:pPr>
      <w:spacing w:after="120"/>
      <w:ind w:left="1440" w:leftChars="700" w:right="1440" w:rightChars="700"/>
    </w:pPr>
  </w:style>
  <w:style w:type="paragraph" w:styleId="5">
    <w:name w:val="footer"/>
    <w:basedOn w:val="1"/>
    <w:link w:val="25"/>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8">
    <w:name w:val="Normal (Web)"/>
    <w:basedOn w:val="1"/>
    <w:next w:val="7"/>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4">
    <w:name w:val="正文-公1"/>
    <w:basedOn w:val="15"/>
    <w:next w:val="8"/>
    <w:qFormat/>
    <w:uiPriority w:val="0"/>
    <w:pPr>
      <w:ind w:firstLine="200"/>
    </w:pPr>
  </w:style>
  <w:style w:type="paragraph" w:customStyle="1" w:styleId="15">
    <w:name w:val="正文 New New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3"/>
    <w:link w:val="16"/>
    <w:qFormat/>
    <w:uiPriority w:val="0"/>
    <w:rPr>
      <w:rFonts w:ascii="宋体" w:hAnsi="宋体" w:cs="宋体"/>
      <w:b/>
      <w:bCs/>
      <w:kern w:val="36"/>
      <w:sz w:val="48"/>
      <w:szCs w:val="48"/>
    </w:rPr>
  </w:style>
  <w:style w:type="character" w:customStyle="1" w:styleId="23">
    <w:name w:val="UserStyle_4"/>
    <w:basedOn w:val="13"/>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0"/>
    <w:link w:val="5"/>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2022-01-07T03:13:00Z</cp:lastPrinted>
  <dcterms:modified xsi:type="dcterms:W3CDTF">2022-01-07T08:04:10Z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