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8"/>
        <w:spacing w:before="0" w:beforeAutospacing="0" w:after="0" w:afterAutospacing="0" w:line="600" w:lineRule="exact"/>
        <w:jc w:val="center"/>
        <w:rPr>
          <w:rStyle w:val="11"/>
          <w:rFonts w:ascii="黑体" w:eastAsia="黑体"/>
          <w:sz w:val="44"/>
          <w:szCs w:val="44"/>
        </w:rPr>
      </w:pPr>
      <w:r>
        <w:rPr>
          <w:rStyle w:val="9"/>
          <w:rFonts w:ascii="黑体" w:eastAsia="黑体" w:cs="宋体"/>
          <w:sz w:val="44"/>
          <w:szCs w:val="44"/>
        </w:rPr>
        <w:t>中国人民政治协商会议</w:t>
      </w:r>
    </w:p>
    <w:p>
      <w:pPr>
        <w:pStyle w:val="16"/>
        <w:spacing w:before="0" w:beforeAutospacing="0" w:after="0" w:afterAutospacing="0" w:line="600" w:lineRule="exact"/>
        <w:jc w:val="center"/>
        <w:rPr>
          <w:rStyle w:val="11"/>
          <w:rFonts w:hint="eastAsia"/>
          <w:sz w:val="44"/>
          <w:szCs w:val="44"/>
        </w:rPr>
      </w:pPr>
      <w:r>
        <w:rPr>
          <w:rStyle w:val="11"/>
          <w:sz w:val="44"/>
          <w:szCs w:val="44"/>
        </w:rPr>
        <w:t>黔东南苗族侗族自治州委员会</w:t>
      </w:r>
    </w:p>
    <w:p>
      <w:pPr>
        <w:pStyle w:val="16"/>
        <w:spacing w:before="0" w:beforeAutospacing="0" w:after="0" w:afterAutospacing="0" w:line="600" w:lineRule="exact"/>
        <w:jc w:val="center"/>
        <w:rPr>
          <w:rStyle w:val="11"/>
          <w:rFonts w:hint="eastAsia"/>
          <w:sz w:val="44"/>
          <w:szCs w:val="44"/>
        </w:rPr>
      </w:pPr>
      <w:r>
        <w:rPr>
          <w:rStyle w:val="11"/>
          <w:sz w:val="44"/>
          <w:szCs w:val="44"/>
        </w:rPr>
        <w:t>提</w:t>
      </w:r>
      <w:r>
        <w:rPr>
          <w:rStyle w:val="11"/>
          <w:rFonts w:hint="eastAsia"/>
          <w:sz w:val="44"/>
          <w:szCs w:val="44"/>
        </w:rPr>
        <w:t xml:space="preserve">   </w:t>
      </w:r>
      <w:r>
        <w:rPr>
          <w:rStyle w:val="11"/>
          <w:sz w:val="44"/>
          <w:szCs w:val="44"/>
        </w:rPr>
        <w:t>案</w:t>
      </w:r>
    </w:p>
    <w:p>
      <w:pPr>
        <w:spacing w:line="320" w:lineRule="exact"/>
        <w:jc w:val="center"/>
        <w:textAlignment w:val="top"/>
        <w:rPr>
          <w:rStyle w:val="11"/>
          <w:rFonts w:hint="eastAsia" w:ascii="宋体" w:hAnsi="宋体"/>
          <w:kern w:val="0"/>
          <w:sz w:val="24"/>
        </w:rPr>
      </w:pPr>
    </w:p>
    <w:p>
      <w:pPr>
        <w:spacing w:line="320" w:lineRule="exact"/>
        <w:jc w:val="center"/>
        <w:textAlignment w:val="top"/>
        <w:rPr>
          <w:rStyle w:val="11"/>
          <w:rFonts w:hint="eastAsia" w:ascii="宋体" w:hAnsi="宋体"/>
          <w:kern w:val="0"/>
          <w:sz w:val="24"/>
        </w:rPr>
      </w:pPr>
    </w:p>
    <w:p>
      <w:pPr>
        <w:spacing w:line="760" w:lineRule="exact"/>
        <w:jc w:val="both"/>
        <w:textAlignment w:val="top"/>
        <w:rPr>
          <w:rStyle w:val="11"/>
          <w:rFonts w:ascii="宋体" w:hAnsi="宋体"/>
          <w:kern w:val="0"/>
          <w:sz w:val="24"/>
        </w:rPr>
      </w:pPr>
      <w:r>
        <w:rPr>
          <w:rStyle w:val="11"/>
          <w:rFonts w:ascii="宋体" w:hAnsi="宋体"/>
          <w:kern w:val="0"/>
          <w:sz w:val="24"/>
        </w:rPr>
        <mc:AlternateContent>
          <mc:Choice Requires="wps">
            <w:drawing>
              <wp:inline distT="0" distB="0" distL="114300" distR="114300">
                <wp:extent cx="5212080" cy="35560"/>
                <wp:effectExtent l="0" t="0" r="7620" b="2540"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2080" cy="35560"/>
                        </a:xfrm>
                        <a:prstGeom prst="rect">
                          <a:avLst/>
                        </a:prstGeom>
                        <a:solidFill>
                          <a:srgbClr val="ACA899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2.8pt;width:410.4pt;" fillcolor="#ACA899" filled="t" stroked="f" coordsize="21600,21600" o:gfxdata="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K3ccfDTAAAAAwEAAA8AAAAAAAAAAQAgAAAAIgAAAGRycy9kb3ducmV2LnhtbFBLAQIU&#10;ABQAAAAIAIdO4kC+6oZlvwEAAHcDAAAOAAAAAAAAAAEAIAAAACIBAABkcnMvZTJvRG9jLnhtbFBL&#10;BQYAAAAABgAGAFkBAABT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  <w10:wrap type="none"/>
                <w10:anchorlock/>
              </v:rect>
            </w:pict>
          </mc:Fallback>
        </mc:AlternateContent>
      </w:r>
    </w:p>
    <w:p>
      <w:pPr>
        <w:spacing w:line="320" w:lineRule="exact"/>
        <w:rPr>
          <w:rStyle w:val="11"/>
          <w:rFonts w:hint="default" w:ascii="宋体" w:hAnsi="宋体" w:eastAsia="宋体"/>
          <w:kern w:val="0"/>
          <w:sz w:val="24"/>
          <w:lang w:val="en-US" w:eastAsia="zh-CN"/>
        </w:rPr>
      </w:pPr>
      <w:r>
        <w:rPr>
          <w:rStyle w:val="11"/>
          <w:rFonts w:ascii="宋体" w:hAnsi="宋体"/>
          <w:kern w:val="0"/>
          <w:sz w:val="24"/>
        </w:rPr>
        <w:t>第十</w:t>
      </w:r>
      <w:r>
        <w:rPr>
          <w:rStyle w:val="11"/>
          <w:rFonts w:hint="eastAsia" w:ascii="宋体" w:hAnsi="宋体"/>
          <w:kern w:val="0"/>
          <w:sz w:val="24"/>
          <w:lang w:val="en-US" w:eastAsia="zh-CN"/>
        </w:rPr>
        <w:t>三</w:t>
      </w:r>
      <w:r>
        <w:rPr>
          <w:rStyle w:val="11"/>
          <w:rFonts w:ascii="宋体" w:hAnsi="宋体"/>
          <w:kern w:val="0"/>
          <w:sz w:val="24"/>
        </w:rPr>
        <w:t>届第</w:t>
      </w:r>
      <w:r>
        <w:rPr>
          <w:rStyle w:val="11"/>
          <w:rFonts w:hint="eastAsia" w:ascii="宋体" w:hAnsi="宋体"/>
          <w:kern w:val="0"/>
          <w:sz w:val="24"/>
          <w:lang w:val="en-US" w:eastAsia="zh-CN"/>
        </w:rPr>
        <w:t>一</w:t>
      </w:r>
      <w:r>
        <w:rPr>
          <w:rStyle w:val="11"/>
          <w:rFonts w:ascii="宋体" w:hAnsi="宋体"/>
          <w:kern w:val="0"/>
          <w:sz w:val="24"/>
        </w:rPr>
        <w:t>次会议　       　第</w:t>
      </w:r>
      <w:r>
        <w:rPr>
          <w:rStyle w:val="11"/>
          <w:rFonts w:hint="eastAsia" w:ascii="宋体" w:hAnsi="宋体"/>
          <w:kern w:val="0"/>
          <w:sz w:val="24"/>
          <w:lang w:val="en-US" w:eastAsia="zh-CN"/>
        </w:rPr>
        <w:t>035</w:t>
      </w:r>
      <w:r>
        <w:rPr>
          <w:rStyle w:val="11"/>
          <w:rFonts w:ascii="宋体" w:hAnsi="宋体"/>
          <w:kern w:val="0"/>
          <w:sz w:val="24"/>
        </w:rPr>
        <w:t xml:space="preserve">号　    </w:t>
      </w:r>
      <w:r>
        <w:rPr>
          <w:rStyle w:val="11"/>
          <w:rFonts w:hint="eastAsia" w:ascii="宋体" w:hAnsi="宋体"/>
          <w:kern w:val="0"/>
          <w:sz w:val="24"/>
        </w:rPr>
        <w:t xml:space="preserve">    </w:t>
      </w:r>
      <w:r>
        <w:rPr>
          <w:rStyle w:val="11"/>
          <w:rFonts w:hint="eastAsia" w:ascii="宋体" w:hAnsi="宋体"/>
          <w:kern w:val="0"/>
          <w:sz w:val="24"/>
          <w:lang w:val="en-US" w:eastAsia="zh-CN"/>
        </w:rPr>
        <w:t xml:space="preserve"> 类别：社会建设类     </w:t>
      </w:r>
    </w:p>
    <w:p>
      <w:pPr>
        <w:spacing w:line="320" w:lineRule="exact"/>
        <w:jc w:val="left"/>
        <w:rPr>
          <w:rStyle w:val="11"/>
          <w:rFonts w:ascii="宋体" w:hAnsi="宋体"/>
          <w:kern w:val="0"/>
          <w:sz w:val="24"/>
        </w:rPr>
      </w:pPr>
      <w:r>
        <w:rPr>
          <w:rStyle w:val="11"/>
          <w:rFonts w:ascii="宋体" w:hAnsi="宋体"/>
          <w:kern w:val="0"/>
          <w:sz w:val="24"/>
        </w:rPr>
        <mc:AlternateContent>
          <mc:Choice Requires="wps">
            <w:drawing>
              <wp:inline distT="0" distB="0" distL="114300" distR="114300">
                <wp:extent cx="5274945" cy="38100"/>
                <wp:effectExtent l="0" t="0" r="1905" b="0"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4945" cy="38100"/>
                        </a:xfrm>
                        <a:prstGeom prst="rect">
                          <a:avLst/>
                        </a:prstGeom>
                        <a:solidFill>
                          <a:srgbClr val="ACA899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3pt;width:415.35pt;" fillcolor="#ACA899" filled="t" stroked="f" coordsize="21600,21600" o:gfxdata="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DzMVtO0wAAAAMBAAAPAAAAAAAAAAEAIAAAACIAAABkcnMvZG93bnJldi54bWxQSwEC&#10;FAAUAAAACACHTuJApo3SZ8ABAAB3AwAADgAAAAAAAAABACAAAAAiAQAAZHJzL2Uyb0RvYy54bWxQ&#10;SwUGAAAAAAYABgBZAQAAVA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  <w10:wrap type="none"/>
                <w10:anchorlock/>
              </v:rect>
            </w:pict>
          </mc:Fallback>
        </mc:AlternateContent>
      </w:r>
    </w:p>
    <w:tbl>
      <w:tblPr>
        <w:tblStyle w:val="7"/>
        <w:tblW w:w="8550" w:type="dxa"/>
        <w:tblInd w:w="0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1753"/>
        <w:gridCol w:w="3872"/>
        <w:gridCol w:w="1440"/>
        <w:gridCol w:w="1485"/>
      </w:tblGrid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753" w:type="dxa"/>
            <w:vAlign w:val="center"/>
          </w:tcPr>
          <w:p>
            <w:pPr>
              <w:jc w:val="left"/>
              <w:rPr>
                <w:rStyle w:val="11"/>
                <w:rFonts w:ascii="宋体" w:hAnsi="宋体"/>
                <w:kern w:val="0"/>
                <w:sz w:val="24"/>
              </w:rPr>
            </w:pPr>
            <w:r>
              <w:rPr>
                <w:rStyle w:val="11"/>
                <w:rFonts w:ascii="黑体" w:hAnsi="宋体" w:eastAsia="黑体" w:cs="宋体"/>
                <w:b/>
                <w:bCs/>
                <w:kern w:val="0"/>
                <w:sz w:val="24"/>
              </w:rPr>
              <w:t>案</w:t>
            </w:r>
            <w:r>
              <w:rPr>
                <w:rStyle w:val="11"/>
                <w:rFonts w:ascii="宋体" w:hAnsi="宋体" w:eastAsia="黑体" w:cs="宋体"/>
                <w:b/>
                <w:bCs/>
                <w:kern w:val="0"/>
                <w:sz w:val="24"/>
              </w:rPr>
              <w:t>  </w:t>
            </w:r>
            <w:r>
              <w:rPr>
                <w:rStyle w:val="11"/>
                <w:rFonts w:ascii="黑体" w:hAnsi="宋体" w:eastAsia="黑体" w:cs="宋体"/>
                <w:b/>
                <w:bCs/>
                <w:kern w:val="0"/>
                <w:sz w:val="24"/>
              </w:rPr>
              <w:t>由</w:t>
            </w:r>
            <w:r>
              <w:rPr>
                <w:rStyle w:val="11"/>
                <w:rFonts w:ascii="宋体" w:hAnsi="宋体" w:cs="宋体"/>
                <w:b/>
                <w:bCs/>
                <w:kern w:val="0"/>
                <w:sz w:val="24"/>
              </w:rPr>
              <w:t>：</w:t>
            </w:r>
          </w:p>
        </w:tc>
        <w:tc>
          <w:tcPr>
            <w:tcW w:w="6797" w:type="dxa"/>
            <w:gridSpan w:val="3"/>
            <w:vAlign w:val="center"/>
          </w:tcPr>
          <w:p>
            <w:pPr>
              <w:jc w:val="left"/>
              <w:rPr>
                <w:rStyle w:val="11"/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/>
              </w:rPr>
              <w:t>关于深化物业管理的建议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753" w:type="dxa"/>
            <w:vAlign w:val="center"/>
          </w:tcPr>
          <w:p>
            <w:pPr>
              <w:jc w:val="left"/>
              <w:rPr>
                <w:rStyle w:val="11"/>
                <w:rFonts w:ascii="宋体" w:hAnsi="宋体"/>
                <w:kern w:val="0"/>
                <w:sz w:val="24"/>
              </w:rPr>
            </w:pPr>
            <w:r>
              <w:rPr>
                <w:rStyle w:val="11"/>
                <w:rFonts w:ascii="黑体" w:hAnsi="宋体" w:eastAsia="黑体" w:cs="宋体"/>
                <w:b/>
                <w:bCs/>
                <w:kern w:val="0"/>
                <w:sz w:val="24"/>
              </w:rPr>
              <w:t>审查意见</w:t>
            </w:r>
            <w:r>
              <w:rPr>
                <w:rStyle w:val="11"/>
                <w:rFonts w:ascii="宋体" w:hAnsi="宋体" w:cs="宋体"/>
                <w:b/>
                <w:bCs/>
                <w:kern w:val="0"/>
                <w:sz w:val="24"/>
              </w:rPr>
              <w:t>：</w:t>
            </w:r>
          </w:p>
        </w:tc>
        <w:tc>
          <w:tcPr>
            <w:tcW w:w="6797" w:type="dxa"/>
            <w:gridSpan w:val="3"/>
            <w:vAlign w:val="center"/>
          </w:tcPr>
          <w:p>
            <w:pPr>
              <w:jc w:val="left"/>
              <w:rPr>
                <w:rStyle w:val="11"/>
                <w:rFonts w:hint="default" w:ascii="宋体" w:hAnsi="宋体"/>
                <w:kern w:val="0"/>
                <w:sz w:val="24"/>
                <w:lang w:val="en-US" w:eastAsia="zh-CN"/>
              </w:rPr>
            </w:pPr>
            <w:r>
              <w:rPr>
                <w:rStyle w:val="11"/>
                <w:rFonts w:hint="eastAsia" w:ascii="宋体" w:hAnsi="宋体"/>
                <w:kern w:val="0"/>
                <w:sz w:val="24"/>
                <w:lang w:eastAsia="zh-CN"/>
              </w:rPr>
              <w:t>主办：州住建局</w:t>
            </w:r>
            <w:r>
              <w:rPr>
                <w:rStyle w:val="11"/>
                <w:rFonts w:hint="eastAsia" w:ascii="宋体" w:hAnsi="宋体"/>
                <w:kern w:val="0"/>
                <w:sz w:val="24"/>
                <w:lang w:val="en-US" w:eastAsia="zh-CN"/>
              </w:rPr>
              <w:t xml:space="preserve">   会办：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753" w:type="dxa"/>
            <w:vAlign w:val="center"/>
          </w:tcPr>
          <w:p>
            <w:pPr>
              <w:jc w:val="left"/>
              <w:rPr>
                <w:rStyle w:val="11"/>
                <w:rFonts w:ascii="黑体" w:hAnsi="宋体" w:eastAsia="黑体"/>
                <w:kern w:val="0"/>
                <w:sz w:val="24"/>
              </w:rPr>
            </w:pPr>
            <w:r>
              <w:rPr>
                <w:rStyle w:val="11"/>
                <w:rFonts w:ascii="黑体" w:hAnsi="宋体" w:eastAsia="黑体" w:cs="宋体"/>
                <w:b/>
                <w:bCs/>
                <w:kern w:val="0"/>
                <w:sz w:val="24"/>
              </w:rPr>
              <w:t>提</w:t>
            </w:r>
            <w:r>
              <w:rPr>
                <w:rStyle w:val="11"/>
                <w:rFonts w:hint="eastAsia" w:ascii="黑体" w:hAnsi="宋体" w:eastAsia="黑体" w:cs="宋体"/>
                <w:b/>
                <w:bCs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Style w:val="11"/>
                <w:rFonts w:ascii="黑体" w:hAnsi="宋体" w:eastAsia="黑体" w:cs="宋体"/>
                <w:b/>
                <w:bCs/>
                <w:kern w:val="0"/>
                <w:sz w:val="24"/>
              </w:rPr>
              <w:t>案</w:t>
            </w:r>
            <w:r>
              <w:rPr>
                <w:rStyle w:val="11"/>
                <w:rFonts w:hint="eastAsia" w:ascii="黑体" w:hAnsi="宋体" w:eastAsia="黑体" w:cs="宋体"/>
                <w:b/>
                <w:bCs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Style w:val="11"/>
                <w:rFonts w:ascii="黑体" w:hAnsi="宋体" w:eastAsia="黑体" w:cs="宋体"/>
                <w:b/>
                <w:bCs/>
                <w:kern w:val="0"/>
                <w:sz w:val="24"/>
              </w:rPr>
              <w:t>人</w:t>
            </w:r>
            <w:r>
              <w:rPr>
                <w:rStyle w:val="11"/>
                <w:rFonts w:ascii="宋体" w:hAnsi="宋体" w:eastAsia="黑体" w:cs="宋体"/>
                <w:b/>
                <w:bCs/>
                <w:kern w:val="0"/>
                <w:sz w:val="24"/>
              </w:rPr>
              <w:t>：</w:t>
            </w:r>
          </w:p>
        </w:tc>
        <w:tc>
          <w:tcPr>
            <w:tcW w:w="3872" w:type="dxa"/>
            <w:vAlign w:val="center"/>
          </w:tcPr>
          <w:p>
            <w:pPr>
              <w:jc w:val="left"/>
              <w:rPr>
                <w:rStyle w:val="11"/>
                <w:rFonts w:ascii="宋体" w:hAnsi="宋体"/>
                <w:kern w:val="0"/>
                <w:sz w:val="24"/>
              </w:rPr>
            </w:pPr>
            <w:r>
              <w:rPr>
                <w:rStyle w:val="11"/>
                <w:rFonts w:ascii="宋体" w:hAnsi="宋体" w:cs="宋体"/>
                <w:b/>
                <w:bCs/>
                <w:kern w:val="0"/>
                <w:sz w:val="24"/>
              </w:rPr>
              <w:t>通讯地址</w:t>
            </w:r>
          </w:p>
        </w:tc>
        <w:tc>
          <w:tcPr>
            <w:tcW w:w="1440" w:type="dxa"/>
            <w:vAlign w:val="center"/>
          </w:tcPr>
          <w:p>
            <w:pPr>
              <w:jc w:val="left"/>
              <w:rPr>
                <w:rStyle w:val="11"/>
                <w:rFonts w:ascii="宋体" w:hAnsi="宋体"/>
                <w:kern w:val="0"/>
                <w:sz w:val="24"/>
              </w:rPr>
            </w:pPr>
            <w:r>
              <w:rPr>
                <w:rStyle w:val="11"/>
                <w:rFonts w:ascii="宋体" w:hAnsi="宋体" w:cs="宋体"/>
                <w:b/>
                <w:bCs/>
                <w:kern w:val="0"/>
                <w:sz w:val="24"/>
              </w:rPr>
              <w:t>邮政编码</w:t>
            </w:r>
          </w:p>
        </w:tc>
        <w:tc>
          <w:tcPr>
            <w:tcW w:w="1485" w:type="dxa"/>
            <w:vAlign w:val="center"/>
          </w:tcPr>
          <w:p>
            <w:pPr>
              <w:jc w:val="left"/>
              <w:rPr>
                <w:rStyle w:val="11"/>
                <w:rFonts w:ascii="宋体" w:hAnsi="宋体"/>
                <w:kern w:val="0"/>
                <w:sz w:val="24"/>
              </w:rPr>
            </w:pPr>
            <w:r>
              <w:rPr>
                <w:rStyle w:val="11"/>
                <w:rFonts w:ascii="宋体" w:hAnsi="宋体" w:cs="宋体"/>
                <w:b/>
                <w:bCs/>
                <w:kern w:val="0"/>
                <w:sz w:val="24"/>
              </w:rPr>
              <w:t>联系电话</w:t>
            </w:r>
          </w:p>
        </w:tc>
      </w:tr>
      <w:tr>
        <w:tc>
          <w:tcPr>
            <w:tcW w:w="1753" w:type="dxa"/>
            <w:vAlign w:val="center"/>
          </w:tcPr>
          <w:p>
            <w:pPr>
              <w:pStyle w:val="3"/>
              <w:ind w:left="0" w:leftChars="0" w:firstLine="0" w:firstLineChars="0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 xml:space="preserve">张明保 </w:t>
            </w:r>
          </w:p>
          <w:p>
            <w:pPr>
              <w:pStyle w:val="3"/>
              <w:ind w:left="0" w:leftChars="0" w:firstLine="0" w:firstLineChars="0"/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张运良</w:t>
            </w:r>
          </w:p>
        </w:tc>
        <w:tc>
          <w:tcPr>
            <w:tcW w:w="3872" w:type="dxa"/>
            <w:vAlign w:val="center"/>
          </w:tcPr>
          <w:p>
            <w:pPr>
              <w:jc w:val="lef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州科学技术协会</w:t>
            </w:r>
          </w:p>
          <w:p>
            <w:pPr>
              <w:jc w:val="left"/>
              <w:rPr>
                <w:rStyle w:val="11"/>
                <w:rFonts w:hint="eastAsia" w:ascii="宋体" w:hAnsi="宋体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/>
              </w:rPr>
              <w:t>黔东南州政协</w:t>
            </w:r>
          </w:p>
        </w:tc>
        <w:tc>
          <w:tcPr>
            <w:tcW w:w="1440" w:type="dxa"/>
            <w:vAlign w:val="center"/>
          </w:tcPr>
          <w:p>
            <w:pPr>
              <w:jc w:val="left"/>
              <w:rPr>
                <w:rStyle w:val="11"/>
                <w:rFonts w:hint="default" w:ascii="宋体" w:hAnsi="宋体" w:eastAsia="宋体"/>
                <w:kern w:val="0"/>
                <w:sz w:val="24"/>
                <w:lang w:val="en-US" w:eastAsia="zh-CN"/>
              </w:rPr>
            </w:pPr>
            <w:r>
              <w:rPr>
                <w:rStyle w:val="11"/>
                <w:rFonts w:hint="eastAsia" w:ascii="宋体" w:hAnsi="宋体"/>
                <w:kern w:val="0"/>
                <w:sz w:val="24"/>
                <w:lang w:val="en-US" w:eastAsia="zh-CN"/>
              </w:rPr>
              <w:t>556000</w:t>
            </w:r>
          </w:p>
        </w:tc>
        <w:tc>
          <w:tcPr>
            <w:tcW w:w="1485" w:type="dxa"/>
            <w:vAlign w:val="center"/>
          </w:tcPr>
          <w:p>
            <w:pPr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13885598198</w:t>
            </w:r>
          </w:p>
          <w:p>
            <w:pPr>
              <w:jc w:val="left"/>
              <w:rPr>
                <w:rFonts w:hint="default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/>
                <w:lang w:val="en-US" w:eastAsia="zh-CN"/>
              </w:rPr>
              <w:t>13688555399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753" w:type="dxa"/>
            <w:vAlign w:val="center"/>
          </w:tcPr>
          <w:p>
            <w:pPr>
              <w:jc w:val="left"/>
              <w:rPr>
                <w:rStyle w:val="11"/>
                <w:rFonts w:hint="eastAsia" w:ascii="宋体" w:hAnsi="宋体" w:eastAsia="宋体"/>
                <w:kern w:val="0"/>
                <w:sz w:val="24"/>
                <w:lang w:eastAsia="zh-CN"/>
              </w:rPr>
            </w:pPr>
            <w:r>
              <w:rPr>
                <w:rStyle w:val="11"/>
                <w:rFonts w:hint="eastAsia" w:ascii="黑体" w:hAnsi="宋体" w:eastAsia="黑体" w:cs="宋体"/>
                <w:b/>
                <w:bCs/>
                <w:kern w:val="0"/>
                <w:sz w:val="24"/>
                <w:szCs w:val="22"/>
                <w:lang w:eastAsia="zh-CN"/>
              </w:rPr>
              <w:t>工作联系电话：</w:t>
            </w:r>
          </w:p>
        </w:tc>
        <w:tc>
          <w:tcPr>
            <w:tcW w:w="6797" w:type="dxa"/>
            <w:gridSpan w:val="3"/>
            <w:vAlign w:val="center"/>
          </w:tcPr>
          <w:p>
            <w:pPr>
              <w:jc w:val="left"/>
              <w:rPr>
                <w:rStyle w:val="11"/>
                <w:rFonts w:hint="eastAsia" w:ascii="宋体" w:hAnsi="宋体"/>
                <w:kern w:val="0"/>
                <w:sz w:val="24"/>
                <w:lang w:val="en-US" w:eastAsia="zh-CN"/>
              </w:rPr>
            </w:pPr>
            <w:r>
              <w:rPr>
                <w:rStyle w:val="11"/>
                <w:rFonts w:hint="eastAsia" w:ascii="宋体" w:hAnsi="宋体"/>
                <w:kern w:val="0"/>
                <w:sz w:val="24"/>
                <w:lang w:eastAsia="zh-CN"/>
              </w:rPr>
              <w:t>州委办秘书五科：</w:t>
            </w:r>
            <w:r>
              <w:rPr>
                <w:rStyle w:val="11"/>
                <w:rFonts w:hint="eastAsia" w:ascii="宋体" w:hAnsi="宋体"/>
                <w:kern w:val="0"/>
                <w:sz w:val="24"/>
                <w:lang w:val="en-US" w:eastAsia="zh-CN"/>
              </w:rPr>
              <w:t>8270060；</w:t>
            </w:r>
            <w:r>
              <w:rPr>
                <w:rStyle w:val="11"/>
                <w:rFonts w:hint="eastAsia" w:ascii="宋体" w:hAnsi="宋体"/>
                <w:kern w:val="0"/>
                <w:sz w:val="24"/>
                <w:lang w:eastAsia="zh-CN"/>
              </w:rPr>
              <w:t>州政府办建议提案科：</w:t>
            </w:r>
            <w:r>
              <w:rPr>
                <w:rStyle w:val="11"/>
                <w:rFonts w:hint="eastAsia" w:ascii="宋体" w:hAnsi="宋体"/>
                <w:kern w:val="0"/>
                <w:sz w:val="24"/>
                <w:lang w:val="en-US" w:eastAsia="zh-CN"/>
              </w:rPr>
              <w:t>8260016；</w:t>
            </w:r>
          </w:p>
          <w:p>
            <w:pPr>
              <w:jc w:val="left"/>
              <w:rPr>
                <w:rStyle w:val="11"/>
                <w:rFonts w:hint="default" w:ascii="宋体" w:hAnsi="宋体"/>
                <w:kern w:val="0"/>
                <w:sz w:val="24"/>
                <w:lang w:val="en-US"/>
              </w:rPr>
            </w:pPr>
            <w:r>
              <w:rPr>
                <w:rStyle w:val="11"/>
                <w:rFonts w:hint="eastAsia" w:ascii="宋体" w:hAnsi="宋体"/>
                <w:kern w:val="0"/>
                <w:sz w:val="24"/>
                <w:lang w:eastAsia="zh-CN"/>
              </w:rPr>
              <w:t>州政协提案委：</w:t>
            </w:r>
            <w:r>
              <w:rPr>
                <w:rStyle w:val="11"/>
                <w:rFonts w:hint="eastAsia" w:ascii="宋体" w:hAnsi="宋体"/>
                <w:kern w:val="0"/>
                <w:sz w:val="24"/>
                <w:lang w:val="en-US" w:eastAsia="zh-CN"/>
              </w:rPr>
              <w:t>8428866</w:t>
            </w:r>
            <w:r>
              <w:rPr>
                <w:rStyle w:val="11"/>
                <w:rFonts w:hint="eastAsia" w:ascii="宋体" w:hAnsi="宋体"/>
                <w:kern w:val="0"/>
                <w:sz w:val="24"/>
                <w:lang w:eastAsia="zh-CN"/>
              </w:rPr>
              <w:t>。</w:t>
            </w:r>
          </w:p>
        </w:tc>
      </w:tr>
    </w:tbl>
    <w:p>
      <w:pPr>
        <w:jc w:val="left"/>
        <w:rPr>
          <w:rStyle w:val="11"/>
          <w:rFonts w:ascii="宋体" w:hAnsi="宋体"/>
          <w:kern w:val="0"/>
          <w:sz w:val="24"/>
        </w:rPr>
      </w:pPr>
      <w:r>
        <w:rPr>
          <w:rStyle w:val="11"/>
          <w:rFonts w:ascii="宋体" w:hAnsi="宋体"/>
          <w:kern w:val="0"/>
          <w:sz w:val="24"/>
        </w:rPr>
        <mc:AlternateContent>
          <mc:Choice Requires="wps">
            <w:drawing>
              <wp:inline distT="0" distB="0" distL="114300" distR="114300">
                <wp:extent cx="5212080" cy="35560"/>
                <wp:effectExtent l="0" t="0" r="7620" b="2540"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2080" cy="35560"/>
                        </a:xfrm>
                        <a:prstGeom prst="rect">
                          <a:avLst/>
                        </a:prstGeom>
                        <a:solidFill>
                          <a:srgbClr val="ACA899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2.8pt;width:410.4pt;" fillcolor="#ACA899" filled="t" stroked="f" coordsize="21600,21600" o:gfxdata="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K3ccfDTAAAAAwEAAA8AAAAAAAAAAQAgAAAAIgAAAGRycy9kb3ducmV2LnhtbFBLAQIU&#10;ABQAAAAIAIdO4kBCLY2xvwEAAHcDAAAOAAAAAAAAAAEAIAAAACIBAABkcnMvZTJvRG9jLnhtbFBL&#10;BQYAAAAABgAGAFkBAABT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  <w10:wrap type="none"/>
                <w10:anchorlock/>
              </v:rect>
            </w:pict>
          </mc:Fallback>
        </mc:AlternateContent>
      </w:r>
    </w:p>
    <w:p>
      <w:pPr>
        <w:keepNext w:val="0"/>
        <w:keepLines w:val="0"/>
        <w:pageBreakBefore w:val="0"/>
        <w:kinsoku/>
        <w:overflowPunct/>
        <w:autoSpaceDE/>
        <w:autoSpaceDN/>
        <w:bidi w:val="0"/>
        <w:adjustRightInd/>
        <w:snapToGrid/>
        <w:spacing w:beforeAutospacing="0" w:afterAutospacing="0" w:line="560" w:lineRule="exact"/>
        <w:rPr>
          <w:rStyle w:val="11"/>
          <w:rFonts w:hint="eastAsia" w:ascii="仿宋_GB2312" w:hAnsi="宋体" w:eastAsia="仿宋_GB2312"/>
          <w:kern w:val="0"/>
          <w:sz w:val="32"/>
          <w:szCs w:val="32"/>
        </w:rPr>
      </w:pPr>
      <w:r>
        <w:rPr>
          <w:rStyle w:val="11"/>
          <w:rFonts w:hint="eastAsia" w:ascii="仿宋_GB2312" w:hAnsi="宋体" w:eastAsia="仿宋_GB2312"/>
          <w:kern w:val="0"/>
          <w:sz w:val="32"/>
          <w:szCs w:val="32"/>
        </w:rPr>
        <w:t>内容和办法</w:t>
      </w:r>
      <w:r>
        <w:rPr>
          <w:rStyle w:val="11"/>
          <w:rFonts w:hint="eastAsia" w:ascii="仿宋_GB2312" w:hAnsi="宋体" w:eastAsia="仿宋_GB2312"/>
          <w:kern w:val="0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kinsoku/>
        <w:overflowPunct/>
        <w:autoSpaceDE/>
        <w:autoSpaceDN/>
        <w:bidi w:val="0"/>
        <w:adjustRightInd/>
        <w:snapToGrid/>
        <w:spacing w:line="560" w:lineRule="exact"/>
        <w:ind w:left="-357" w:leftChars="-170" w:right="-512" w:rightChars="-244"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物业管理服务是城镇最重要的民生工作之一，黔东南州物业管理虽经过20余年的发展，一定程度上改善和提升了人居环境，但因在物业规划、建设、销售、验收、交付、使用、管理、服务等物业相关行为的事前、事中、事后全过程中指导和监管的专业度、专职度、深度、精细度不够，目前还很难满足广大居民的安居需求和城镇的发展需要；城镇的发展需要良性有序不断增加人口、人流、人才、人力，安居才能乐业，深化物业管理不断改善和提升人居环境显得尤为重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overflowPunct/>
        <w:autoSpaceDE/>
        <w:autoSpaceDN/>
        <w:bidi w:val="0"/>
        <w:adjustRightInd/>
        <w:snapToGrid/>
        <w:spacing w:line="560" w:lineRule="exact"/>
        <w:ind w:left="-357" w:leftChars="-170" w:right="-512" w:rightChars="-244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建议：</w:t>
      </w:r>
    </w:p>
    <w:p>
      <w:pPr>
        <w:keepNext w:val="0"/>
        <w:keepLines w:val="0"/>
        <w:pageBreakBefore w:val="0"/>
        <w:kinsoku/>
        <w:overflowPunct/>
        <w:autoSpaceDE/>
        <w:autoSpaceDN/>
        <w:bidi w:val="0"/>
        <w:adjustRightInd/>
        <w:snapToGrid/>
        <w:spacing w:line="560" w:lineRule="exact"/>
        <w:ind w:left="-357" w:leftChars="-170" w:right="-512" w:rightChars="-244" w:firstLine="643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sz w:val="32"/>
          <w:szCs w:val="32"/>
        </w:rPr>
        <w:t>一、提高物业管理的重视度</w:t>
      </w:r>
      <w:r>
        <w:rPr>
          <w:rFonts w:hint="eastAsia" w:ascii="仿宋" w:hAnsi="仿宋" w:eastAsia="仿宋" w:cs="仿宋"/>
          <w:b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各县市应成</w:t>
      </w:r>
      <w:r>
        <w:rPr>
          <w:rFonts w:hint="eastAsia" w:ascii="仿宋" w:hAnsi="仿宋" w:eastAsia="仿宋" w:cs="仿宋"/>
          <w:sz w:val="32"/>
          <w:szCs w:val="32"/>
        </w:rPr>
        <w:t>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由</w:t>
      </w:r>
      <w:r>
        <w:rPr>
          <w:rFonts w:hint="eastAsia" w:ascii="仿宋" w:hAnsi="仿宋" w:eastAsia="仿宋" w:cs="仿宋"/>
          <w:sz w:val="32"/>
          <w:szCs w:val="32"/>
        </w:rPr>
        <w:t>主要领导牵头专职负责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纪检监察、司法及物业管理相关职能部门主要领导在内的物业管理委员会，配置专业专职人员组成的物业管理办公室，下设物业管理专家委员会、物业管理联动执法委员会、街镇物业管理服务中心和物业管理行业协会、房地产行业协会、装修行业协会，依法依规建立健全适合当地的地方性物业管理实施细则，事前、事中、事后全过程领导、指导、监督物业规划、建设、销售、服务、使用、业主自治和专营、维保、维修等相关监管部门的日常管理行为，开通物业投诉直通物业管理领导委员会的线上受理渠道，持续、精准、及时、高效加强物业相关行为的监管和问题的提早化解，逐步根本依法依规依策持续规范物业相关行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overflowPunct/>
        <w:autoSpaceDE/>
        <w:autoSpaceDN/>
        <w:bidi w:val="0"/>
        <w:adjustRightInd/>
        <w:snapToGrid/>
        <w:spacing w:line="560" w:lineRule="exact"/>
        <w:ind w:left="-359" w:leftChars="-171" w:right="-512" w:rightChars="-244" w:firstLine="643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sz w:val="32"/>
          <w:szCs w:val="32"/>
        </w:rPr>
        <w:t>二、物业管理服务相关监管部门应充分配置足够的专业、专职人员</w:t>
      </w:r>
      <w:r>
        <w:rPr>
          <w:rFonts w:hint="eastAsia" w:ascii="仿宋" w:hAnsi="仿宋" w:eastAsia="仿宋" w:cs="仿宋"/>
          <w:b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t>各街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道</w:t>
      </w:r>
      <w:r>
        <w:rPr>
          <w:rFonts w:hint="eastAsia" w:ascii="仿宋" w:hAnsi="仿宋" w:eastAsia="仿宋" w:cs="仿宋"/>
          <w:sz w:val="32"/>
          <w:szCs w:val="32"/>
        </w:rPr>
        <w:t>成立以主要班子成员牵头的物业管理服务中心，在县市物业管理领导委员会的领导下，指导各社区成立以一个物业管理区域（物业小区）为单位、社区在编人员为主、业主代表参与的小区物业管理委员会，物业管理委员会在街镇物业管理服务中心的指导、监督下切实代行业委会职责，精细化引导、指导、协调、监督好业主自治、物业公司履约、业主责任义务履行和权力行使、邻里关系构建，常态化加强物业法律法规、物业消费和小区共建共管共享等物业相关知识意识的提升宣传；物业管理人员应常态化加强业务能力提升培训学习，提高凯里市物业相关行为的指导、监督能力和水平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overflowPunct/>
        <w:autoSpaceDE/>
        <w:autoSpaceDN/>
        <w:bidi w:val="0"/>
        <w:adjustRightInd/>
        <w:snapToGrid/>
        <w:spacing w:line="560" w:lineRule="exact"/>
        <w:ind w:left="-359" w:leftChars="-171" w:right="-512" w:rightChars="-244" w:firstLine="643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sz w:val="32"/>
          <w:szCs w:val="32"/>
        </w:rPr>
        <w:t>三、成立物业管理联动执法委员会</w:t>
      </w:r>
      <w:r>
        <w:rPr>
          <w:rFonts w:hint="eastAsia" w:ascii="仿宋" w:hAnsi="仿宋" w:eastAsia="仿宋" w:cs="仿宋"/>
          <w:b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t>出台恶意欠费、随意违停、肆意侵占、煽动起哄、乱搭乱接、乱扔乱抛、乱养乱闹、乱贴乱画等破坏小区生活环境的不良行为便捷惩戒措施，及时查处纠正、长效遏制；特别是物业公司采取非正常方式竞聘、将未办理承接查验的物业交给业主、新老物业交接时未办理承接查验、责任义务履行与合同约定严重不符、安全管理工作严重缺失，以及业主委员会随意越权决定或肆意侵占小区公共权益，建设单位不依法履行职责、侵占业主权益等行为，应从严从快查处，坚决打击和杜绝，推动物业使用和管理服务的法治化、规范化、精细化、市场化发展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overflowPunct/>
        <w:autoSpaceDE/>
        <w:autoSpaceDN/>
        <w:bidi w:val="0"/>
        <w:adjustRightInd/>
        <w:snapToGrid/>
        <w:spacing w:line="560" w:lineRule="exact"/>
        <w:ind w:left="-359" w:leftChars="-171" w:right="-512" w:rightChars="-244" w:firstLine="643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sz w:val="32"/>
          <w:szCs w:val="32"/>
        </w:rPr>
        <w:t>四、健全物业管理专家</w:t>
      </w:r>
      <w:r>
        <w:rPr>
          <w:rFonts w:hint="eastAsia" w:ascii="仿宋" w:hAnsi="仿宋" w:eastAsia="仿宋" w:cs="仿宋"/>
          <w:b/>
          <w:sz w:val="32"/>
          <w:szCs w:val="32"/>
          <w:lang w:eastAsia="zh-CN"/>
        </w:rPr>
        <w:t>库。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各县市</w:t>
      </w:r>
      <w:r>
        <w:rPr>
          <w:rFonts w:hint="eastAsia" w:ascii="仿宋" w:hAnsi="仿宋" w:eastAsia="仿宋" w:cs="仿宋"/>
          <w:sz w:val="32"/>
          <w:szCs w:val="32"/>
        </w:rPr>
        <w:t>组建物业管理专家库，成立物业管理专家委员会，在县市物业管理领导委员会的指导、监督下，参与物业规划的评审，提高物业的科学性、前瞻性、使用性、维保性等，提升品质细节，减少先天性缺陷；参与物业竣工验收和承接查验评审，减少带病交付；参与物业中大修报告的评审和维修验收，进一步提高维修资金使用的精准率；参与物业企业的动态考核、考评和业务能力的培训，促进物业管理服务能力、水平和质量的整体提高；指导街镇物业管理部门提高业主自治行为的指导、监督能力，参与业主大会筹备和召开、业主委员会选举和日常履职的审查，以及业主委员会账务的审计，规范业主自治行为和提升业主自治管理能力；参与物业服务选聘的指导和评标，进一步规范物业选聘行为，帮助建设单位和业主依法依规尽可能优选到满意的物业服务企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/>
        <w:autoSpaceDE/>
        <w:autoSpaceDN/>
        <w:bidi w:val="0"/>
        <w:adjustRightInd/>
        <w:snapToGrid/>
        <w:spacing w:beforeAutospacing="0" w:after="0" w:afterAutospacing="0" w:line="560" w:lineRule="exact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color w:val="auto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autoSpaceDE/>
        <w:autoSpaceDN/>
        <w:bidi w:val="0"/>
        <w:adjustRightInd/>
        <w:snapToGrid/>
        <w:spacing w:beforeAutospacing="0" w:afterAutospacing="0" w:line="560" w:lineRule="exact"/>
        <w:ind w:firstLine="643" w:firstLineChars="200"/>
        <w:rPr>
          <w:rStyle w:val="11"/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Style w:val="11"/>
          <w:rFonts w:hint="eastAsia" w:ascii="黑体" w:hAnsi="黑体" w:eastAsia="黑体" w:cs="黑体"/>
          <w:b/>
          <w:bCs/>
          <w:kern w:val="0"/>
          <w:sz w:val="32"/>
          <w:szCs w:val="32"/>
          <w:lang w:val="en-US" w:eastAsia="zh-CN"/>
        </w:rPr>
        <w:t>注：</w:t>
      </w:r>
      <w:r>
        <w:rPr>
          <w:rStyle w:val="11"/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1、提案会办单位需将会办意见送主办单位，由主办单位连同《提案答复件》、《征询意见表》一并抄送州政协；（涉及目标考核）</w:t>
      </w:r>
    </w:p>
    <w:p>
      <w:pPr>
        <w:keepNext w:val="0"/>
        <w:keepLines w:val="0"/>
        <w:pageBreakBefore w:val="0"/>
        <w:kinsoku/>
        <w:overflowPunct/>
        <w:autoSpaceDE/>
        <w:autoSpaceDN/>
        <w:bidi w:val="0"/>
        <w:adjustRightInd/>
        <w:snapToGrid/>
        <w:spacing w:beforeAutospacing="0" w:afterAutospacing="0" w:line="560" w:lineRule="exact"/>
        <w:ind w:firstLine="1280" w:firstLineChars="400"/>
        <w:rPr>
          <w:rStyle w:val="11"/>
          <w:rFonts w:hint="default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Style w:val="11"/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2、州政协联系方式：州政协办402室、传真8428882，协同账号：州政协办公室收发员（备注：XXX号提案答复件）。</w:t>
      </w:r>
    </w:p>
    <w:sectPr>
      <w:headerReference r:id="rId3" w:type="default"/>
      <w:footerReference r:id="rId4" w:type="default"/>
      <w:pgSz w:w="11906" w:h="16838"/>
      <w:pgMar w:top="2098" w:right="1474" w:bottom="1985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198941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4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rPr>
        <w:rStyle w:val="1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noPunctuationKerning w:val="1"/>
  <w:characterSpacingControl w:val="doNotCompress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911"/>
    <w:rsid w:val="00062089"/>
    <w:rsid w:val="002F6404"/>
    <w:rsid w:val="00372D70"/>
    <w:rsid w:val="004D0222"/>
    <w:rsid w:val="004E6BC5"/>
    <w:rsid w:val="00507FB8"/>
    <w:rsid w:val="00551F39"/>
    <w:rsid w:val="00554776"/>
    <w:rsid w:val="00654375"/>
    <w:rsid w:val="007055DB"/>
    <w:rsid w:val="007D1DFD"/>
    <w:rsid w:val="00840276"/>
    <w:rsid w:val="008A6967"/>
    <w:rsid w:val="008E32D7"/>
    <w:rsid w:val="008E5289"/>
    <w:rsid w:val="00A351EC"/>
    <w:rsid w:val="00A75BD7"/>
    <w:rsid w:val="00A94399"/>
    <w:rsid w:val="00A97C93"/>
    <w:rsid w:val="00C76ECC"/>
    <w:rsid w:val="00D123BF"/>
    <w:rsid w:val="00DD129A"/>
    <w:rsid w:val="00EA1493"/>
    <w:rsid w:val="00FB6911"/>
    <w:rsid w:val="00FF3F01"/>
    <w:rsid w:val="06503351"/>
    <w:rsid w:val="07D26AFC"/>
    <w:rsid w:val="08B66956"/>
    <w:rsid w:val="0E900A2C"/>
    <w:rsid w:val="10B40BCC"/>
    <w:rsid w:val="118823F2"/>
    <w:rsid w:val="16F969DB"/>
    <w:rsid w:val="18EC1E64"/>
    <w:rsid w:val="1BAB45FA"/>
    <w:rsid w:val="20E366FE"/>
    <w:rsid w:val="21EA0B57"/>
    <w:rsid w:val="23370767"/>
    <w:rsid w:val="29EB237C"/>
    <w:rsid w:val="2BDD0731"/>
    <w:rsid w:val="2FD84B80"/>
    <w:rsid w:val="30B878C9"/>
    <w:rsid w:val="32794BB9"/>
    <w:rsid w:val="33552650"/>
    <w:rsid w:val="377737A4"/>
    <w:rsid w:val="38D60616"/>
    <w:rsid w:val="3A7B4D73"/>
    <w:rsid w:val="3F1A5C90"/>
    <w:rsid w:val="42F10C9F"/>
    <w:rsid w:val="45BC082E"/>
    <w:rsid w:val="493508EE"/>
    <w:rsid w:val="497C7186"/>
    <w:rsid w:val="4A196944"/>
    <w:rsid w:val="4F1E6C2C"/>
    <w:rsid w:val="4F6B5D70"/>
    <w:rsid w:val="507F065A"/>
    <w:rsid w:val="5236789E"/>
    <w:rsid w:val="559F1A55"/>
    <w:rsid w:val="5A7C34BF"/>
    <w:rsid w:val="5AA17385"/>
    <w:rsid w:val="5AAA0838"/>
    <w:rsid w:val="5B7C24C8"/>
    <w:rsid w:val="61895CCF"/>
    <w:rsid w:val="66F35DD9"/>
    <w:rsid w:val="6854075C"/>
    <w:rsid w:val="69A37ABB"/>
    <w:rsid w:val="6A644AE2"/>
    <w:rsid w:val="74620891"/>
    <w:rsid w:val="778C0E73"/>
    <w:rsid w:val="7C1F064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both"/>
      <w:textAlignment w:val="baseline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1"/>
    <w:qFormat/>
    <w:uiPriority w:val="0"/>
    <w:pPr>
      <w:spacing w:after="120" w:line="480" w:lineRule="auto"/>
    </w:pPr>
  </w:style>
  <w:style w:type="paragraph" w:styleId="3">
    <w:name w:val="table of authorities"/>
    <w:basedOn w:val="1"/>
    <w:next w:val="1"/>
    <w:qFormat/>
    <w:uiPriority w:val="0"/>
    <w:pPr>
      <w:ind w:left="420" w:leftChars="200"/>
    </w:pPr>
    <w:rPr>
      <w:szCs w:val="20"/>
    </w:rPr>
  </w:style>
  <w:style w:type="paragraph" w:styleId="4">
    <w:name w:val="footer"/>
    <w:basedOn w:val="1"/>
    <w:link w:val="22"/>
    <w:qFormat/>
    <w:uiPriority w:val="99"/>
    <w:pPr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000000" w:sz="6" w:space="0"/>
      </w:pBdr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9">
    <w:name w:val="Strong"/>
    <w:qFormat/>
    <w:uiPriority w:val="0"/>
    <w:rPr>
      <w:rFonts w:cs="Times New Roman"/>
      <w:b/>
      <w:bCs/>
    </w:rPr>
  </w:style>
  <w:style w:type="character" w:styleId="10">
    <w:name w:val="Hyperlink"/>
    <w:basedOn w:val="11"/>
    <w:semiHidden/>
    <w:qFormat/>
    <w:uiPriority w:val="0"/>
    <w:rPr>
      <w:color w:val="0000FF"/>
      <w:u w:val="single"/>
    </w:rPr>
  </w:style>
  <w:style w:type="character" w:customStyle="1" w:styleId="11">
    <w:name w:val="NormalCharacter"/>
    <w:semiHidden/>
    <w:qFormat/>
    <w:uiPriority w:val="0"/>
  </w:style>
  <w:style w:type="paragraph" w:customStyle="1" w:styleId="12">
    <w:name w:val="正文-公1"/>
    <w:basedOn w:val="1"/>
    <w:qFormat/>
    <w:uiPriority w:val="99"/>
    <w:pPr>
      <w:ind w:firstLine="200" w:firstLineChars="200"/>
    </w:pPr>
    <w:rPr>
      <w:rFonts w:ascii="Calibri" w:hAnsi="Calibri"/>
    </w:rPr>
  </w:style>
  <w:style w:type="paragraph" w:customStyle="1" w:styleId="13">
    <w:name w:val="Heading1"/>
    <w:basedOn w:val="1"/>
    <w:link w:val="19"/>
    <w:qFormat/>
    <w:uiPriority w:val="0"/>
    <w:pPr>
      <w:spacing w:before="100" w:beforeAutospacing="1" w:after="100" w:afterAutospacing="1"/>
      <w:jc w:val="left"/>
    </w:pPr>
    <w:rPr>
      <w:rFonts w:ascii="宋体" w:hAnsi="宋体" w:cs="宋体"/>
      <w:b/>
      <w:bCs/>
      <w:kern w:val="36"/>
      <w:sz w:val="48"/>
      <w:szCs w:val="48"/>
    </w:rPr>
  </w:style>
  <w:style w:type="table" w:customStyle="1" w:styleId="14">
    <w:name w:val="TableNormal"/>
    <w:semiHidden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5">
    <w:name w:val="Acetate"/>
    <w:basedOn w:val="1"/>
    <w:qFormat/>
    <w:uiPriority w:val="0"/>
    <w:rPr>
      <w:sz w:val="18"/>
      <w:szCs w:val="18"/>
    </w:rPr>
  </w:style>
  <w:style w:type="paragraph" w:customStyle="1" w:styleId="16">
    <w:name w:val="UserStyle_0"/>
    <w:basedOn w:val="1"/>
    <w:qFormat/>
    <w:uiPriority w:val="0"/>
    <w:pPr>
      <w:spacing w:before="100" w:beforeAutospacing="1" w:after="100" w:afterAutospacing="1"/>
      <w:jc w:val="left"/>
    </w:pPr>
    <w:rPr>
      <w:rFonts w:ascii="黑体" w:hAnsi="宋体" w:eastAsia="黑体" w:cs="宋体"/>
      <w:b/>
      <w:bCs/>
      <w:kern w:val="0"/>
      <w:sz w:val="36"/>
      <w:szCs w:val="36"/>
    </w:rPr>
  </w:style>
  <w:style w:type="paragraph" w:customStyle="1" w:styleId="17">
    <w:name w:val="UserStyle_1"/>
    <w:basedOn w:val="1"/>
    <w:qFormat/>
    <w:uiPriority w:val="0"/>
    <w:pPr>
      <w:spacing w:before="100" w:beforeAutospacing="1" w:after="100" w:afterAutospacing="1"/>
      <w:jc w:val="left"/>
    </w:pPr>
    <w:rPr>
      <w:rFonts w:ascii="黑体" w:hAnsi="宋体" w:eastAsia="黑体" w:cs="宋体"/>
      <w:b/>
      <w:bCs/>
      <w:kern w:val="0"/>
      <w:sz w:val="54"/>
      <w:szCs w:val="54"/>
    </w:rPr>
  </w:style>
  <w:style w:type="paragraph" w:customStyle="1" w:styleId="18">
    <w:name w:val="UserStyle_2"/>
    <w:basedOn w:val="1"/>
    <w:qFormat/>
    <w:uiPriority w:val="0"/>
    <w:pPr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19">
    <w:name w:val="UserStyle_3"/>
    <w:basedOn w:val="11"/>
    <w:link w:val="13"/>
    <w:qFormat/>
    <w:uiPriority w:val="0"/>
    <w:rPr>
      <w:rFonts w:ascii="宋体" w:hAnsi="宋体" w:cs="宋体"/>
      <w:b/>
      <w:bCs/>
      <w:kern w:val="36"/>
      <w:sz w:val="48"/>
      <w:szCs w:val="48"/>
    </w:rPr>
  </w:style>
  <w:style w:type="character" w:customStyle="1" w:styleId="20">
    <w:name w:val="UserStyle_4"/>
    <w:basedOn w:val="11"/>
    <w:qFormat/>
    <w:uiPriority w:val="0"/>
  </w:style>
  <w:style w:type="paragraph" w:customStyle="1" w:styleId="21">
    <w:name w:val="HtmlNormal"/>
    <w:basedOn w:val="1"/>
    <w:semiHidden/>
    <w:qFormat/>
    <w:uiPriority w:val="0"/>
    <w:pPr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22">
    <w:name w:val="页脚 Char"/>
    <w:basedOn w:val="8"/>
    <w:link w:val="4"/>
    <w:qFormat/>
    <w:uiPriority w:val="99"/>
    <w:rPr>
      <w:rFonts w:cstheme="minorBidi"/>
      <w:kern w:val="2"/>
      <w:sz w:val="18"/>
      <w:szCs w:val="18"/>
    </w:rPr>
  </w:style>
  <w:style w:type="paragraph" w:customStyle="1" w:styleId="23">
    <w:name w:val="Body text|2"/>
    <w:basedOn w:val="1"/>
    <w:qFormat/>
    <w:uiPriority w:val="0"/>
    <w:pPr>
      <w:spacing w:after="300"/>
      <w:ind w:firstLine="740"/>
    </w:pPr>
    <w:rPr>
      <w:rFonts w:ascii="宋体" w:hAnsi="宋体" w:cs="宋体"/>
      <w:sz w:val="26"/>
      <w:szCs w:val="26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Micorosoft</Company>
  <Pages>4</Pages>
  <Words>1683</Words>
  <Characters>1739</Characters>
  <Lines>14</Lines>
  <Paragraphs>4</Paragraphs>
  <TotalTime>8</TotalTime>
  <ScaleCrop>false</ScaleCrop>
  <LinksUpToDate>false</LinksUpToDate>
  <CharactersWithSpaces>1774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2021-01-13T04:51:00Z</dcterms:created>
  <dc:creator>Administrator</dc:creator>
  <cp:lastModifiedBy>丘丘</cp:lastModifiedBy>
  <cp:lastPrinted>2021-02-26T02:55:00Z</cp:lastPrinted>
  <dcterms:modified xsi:type="dcterms:W3CDTF">2022-03-30T08:51:42Z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E19F1579BBED4A89816E6060A4854E73</vt:lpwstr>
  </property>
</Properties>
</file>