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before="0" w:beforeAutospacing="0" w:after="0" w:afterAutospacing="0" w:line="600" w:lineRule="exact"/>
        <w:jc w:val="center"/>
        <w:rPr>
          <w:rStyle w:val="19"/>
          <w:rFonts w:ascii="黑体" w:eastAsia="黑体"/>
          <w:sz w:val="44"/>
          <w:szCs w:val="44"/>
        </w:rPr>
      </w:pPr>
      <w:r>
        <w:rPr>
          <w:rStyle w:val="17"/>
          <w:rFonts w:ascii="黑体" w:eastAsia="黑体" w:cs="宋体"/>
          <w:sz w:val="44"/>
          <w:szCs w:val="44"/>
        </w:rPr>
        <w:t>中国人民政治协商会议</w:t>
      </w:r>
    </w:p>
    <w:p>
      <w:pPr>
        <w:pStyle w:val="25"/>
        <w:spacing w:before="0" w:beforeAutospacing="0" w:after="0" w:afterAutospacing="0" w:line="600" w:lineRule="exact"/>
        <w:jc w:val="center"/>
        <w:rPr>
          <w:rStyle w:val="19"/>
          <w:rFonts w:hint="eastAsia"/>
          <w:sz w:val="44"/>
          <w:szCs w:val="44"/>
        </w:rPr>
      </w:pPr>
      <w:r>
        <w:rPr>
          <w:rStyle w:val="19"/>
          <w:sz w:val="44"/>
          <w:szCs w:val="44"/>
        </w:rPr>
        <w:t>黔东南苗族侗族自治州委员会</w:t>
      </w:r>
    </w:p>
    <w:p>
      <w:pPr>
        <w:pStyle w:val="25"/>
        <w:spacing w:before="0" w:beforeAutospacing="0" w:after="0" w:afterAutospacing="0" w:line="600" w:lineRule="exact"/>
        <w:jc w:val="center"/>
        <w:rPr>
          <w:rStyle w:val="19"/>
          <w:rFonts w:hint="eastAsia"/>
          <w:sz w:val="44"/>
          <w:szCs w:val="44"/>
        </w:rPr>
      </w:pPr>
      <w:r>
        <w:rPr>
          <w:rStyle w:val="19"/>
          <w:sz w:val="44"/>
          <w:szCs w:val="44"/>
        </w:rPr>
        <w:t>提</w:t>
      </w:r>
      <w:r>
        <w:rPr>
          <w:rStyle w:val="19"/>
          <w:rFonts w:hint="eastAsia"/>
          <w:sz w:val="44"/>
          <w:szCs w:val="44"/>
        </w:rPr>
        <w:t xml:space="preserve">   </w:t>
      </w:r>
      <w:r>
        <w:rPr>
          <w:rStyle w:val="19"/>
          <w:sz w:val="44"/>
          <w:szCs w:val="44"/>
        </w:rPr>
        <w:t>案</w:t>
      </w:r>
    </w:p>
    <w:p>
      <w:pPr>
        <w:spacing w:line="320" w:lineRule="exact"/>
        <w:jc w:val="center"/>
        <w:textAlignment w:val="top"/>
        <w:rPr>
          <w:rStyle w:val="19"/>
          <w:rFonts w:hint="eastAsia" w:ascii="宋体" w:hAnsi="宋体"/>
          <w:kern w:val="0"/>
          <w:sz w:val="24"/>
        </w:rPr>
      </w:pPr>
    </w:p>
    <w:p>
      <w:pPr>
        <w:spacing w:line="320" w:lineRule="exact"/>
        <w:jc w:val="center"/>
        <w:textAlignment w:val="top"/>
        <w:rPr>
          <w:rStyle w:val="19"/>
          <w:rFonts w:hint="eastAsia" w:ascii="宋体" w:hAnsi="宋体"/>
          <w:kern w:val="0"/>
          <w:sz w:val="24"/>
        </w:rPr>
      </w:pPr>
    </w:p>
    <w:p>
      <w:pPr>
        <w:spacing w:line="760" w:lineRule="exact"/>
        <w:jc w:val="both"/>
        <w:textAlignment w:val="top"/>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9"/>
          <w:rFonts w:hint="default" w:ascii="宋体" w:hAnsi="宋体" w:eastAsia="宋体"/>
          <w:kern w:val="0"/>
          <w:sz w:val="24"/>
          <w:lang w:val="en-US" w:eastAsia="zh-CN"/>
        </w:rPr>
      </w:pPr>
      <w:r>
        <w:rPr>
          <w:rStyle w:val="19"/>
          <w:rFonts w:ascii="宋体" w:hAnsi="宋体"/>
          <w:kern w:val="0"/>
          <w:sz w:val="24"/>
        </w:rPr>
        <w:t>第十</w:t>
      </w:r>
      <w:r>
        <w:rPr>
          <w:rStyle w:val="19"/>
          <w:rFonts w:hint="eastAsia" w:ascii="宋体" w:hAnsi="宋体"/>
          <w:kern w:val="0"/>
          <w:sz w:val="24"/>
          <w:lang w:val="en-US" w:eastAsia="zh-CN"/>
        </w:rPr>
        <w:t>三</w:t>
      </w:r>
      <w:r>
        <w:rPr>
          <w:rStyle w:val="19"/>
          <w:rFonts w:ascii="宋体" w:hAnsi="宋体"/>
          <w:kern w:val="0"/>
          <w:sz w:val="24"/>
        </w:rPr>
        <w:t>届第</w:t>
      </w:r>
      <w:r>
        <w:rPr>
          <w:rStyle w:val="19"/>
          <w:rFonts w:hint="eastAsia" w:ascii="宋体" w:hAnsi="宋体"/>
          <w:kern w:val="0"/>
          <w:sz w:val="24"/>
          <w:lang w:val="en-US" w:eastAsia="zh-CN"/>
        </w:rPr>
        <w:t>一</w:t>
      </w:r>
      <w:r>
        <w:rPr>
          <w:rStyle w:val="19"/>
          <w:rFonts w:ascii="宋体" w:hAnsi="宋体"/>
          <w:kern w:val="0"/>
          <w:sz w:val="24"/>
        </w:rPr>
        <w:t>次会议　       　第</w:t>
      </w:r>
      <w:r>
        <w:rPr>
          <w:rStyle w:val="19"/>
          <w:rFonts w:hint="eastAsia" w:ascii="宋体" w:hAnsi="宋体"/>
          <w:kern w:val="0"/>
          <w:sz w:val="24"/>
          <w:lang w:val="en-US" w:eastAsia="zh-CN"/>
        </w:rPr>
        <w:t>03</w:t>
      </w:r>
      <w:bookmarkStart w:id="0" w:name="_GoBack"/>
      <w:bookmarkEnd w:id="0"/>
      <w:r>
        <w:rPr>
          <w:rStyle w:val="19"/>
          <w:rFonts w:hint="eastAsia" w:ascii="宋体" w:hAnsi="宋体"/>
          <w:kern w:val="0"/>
          <w:sz w:val="24"/>
          <w:lang w:val="en-US" w:eastAsia="zh-CN"/>
        </w:rPr>
        <w:t>0</w:t>
      </w:r>
      <w:r>
        <w:rPr>
          <w:rStyle w:val="19"/>
          <w:rFonts w:ascii="宋体" w:hAnsi="宋体"/>
          <w:kern w:val="0"/>
          <w:sz w:val="24"/>
        </w:rPr>
        <w:t xml:space="preserve">号　    </w:t>
      </w:r>
      <w:r>
        <w:rPr>
          <w:rStyle w:val="19"/>
          <w:rFonts w:hint="eastAsia" w:ascii="宋体" w:hAnsi="宋体"/>
          <w:kern w:val="0"/>
          <w:sz w:val="24"/>
        </w:rPr>
        <w:t xml:space="preserve">    </w:t>
      </w:r>
      <w:r>
        <w:rPr>
          <w:rStyle w:val="19"/>
          <w:rFonts w:hint="eastAsia" w:ascii="宋体" w:hAnsi="宋体"/>
          <w:kern w:val="0"/>
          <w:sz w:val="24"/>
          <w:lang w:val="en-US" w:eastAsia="zh-CN"/>
        </w:rPr>
        <w:t xml:space="preserve"> 类别：经济建设类     </w:t>
      </w:r>
    </w:p>
    <w:p>
      <w:pPr>
        <w:spacing w:line="320" w:lineRule="exact"/>
        <w:jc w:val="left"/>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9"/>
                <w:rFonts w:ascii="宋体" w:hAnsi="宋体"/>
                <w:kern w:val="0"/>
                <w:sz w:val="24"/>
              </w:rPr>
            </w:pPr>
            <w:r>
              <w:rPr>
                <w:rStyle w:val="19"/>
                <w:rFonts w:ascii="黑体" w:hAnsi="宋体" w:eastAsia="黑体" w:cs="宋体"/>
                <w:b/>
                <w:bCs/>
                <w:kern w:val="0"/>
                <w:sz w:val="24"/>
              </w:rPr>
              <w:t>案</w:t>
            </w:r>
            <w:r>
              <w:rPr>
                <w:rStyle w:val="19"/>
                <w:rFonts w:ascii="宋体" w:hAnsi="宋体" w:eastAsia="黑体" w:cs="宋体"/>
                <w:b/>
                <w:bCs/>
                <w:kern w:val="0"/>
                <w:sz w:val="24"/>
              </w:rPr>
              <w:t>  </w:t>
            </w:r>
            <w:r>
              <w:rPr>
                <w:rStyle w:val="19"/>
                <w:rFonts w:ascii="黑体" w:hAnsi="宋体" w:eastAsia="黑体" w:cs="宋体"/>
                <w:b/>
                <w:bCs/>
                <w:kern w:val="0"/>
                <w:sz w:val="24"/>
              </w:rPr>
              <w:t>由</w:t>
            </w:r>
            <w:r>
              <w:rPr>
                <w:rStyle w:val="19"/>
                <w:rFonts w:ascii="宋体" w:hAnsi="宋体" w:cs="宋体"/>
                <w:b/>
                <w:bCs/>
                <w:kern w:val="0"/>
                <w:sz w:val="24"/>
              </w:rPr>
              <w:t>：</w:t>
            </w:r>
          </w:p>
        </w:tc>
        <w:tc>
          <w:tcPr>
            <w:tcW w:w="6797" w:type="dxa"/>
            <w:gridSpan w:val="3"/>
            <w:vAlign w:val="center"/>
          </w:tcPr>
          <w:p>
            <w:pPr>
              <w:pStyle w:val="14"/>
              <w:widowControl/>
              <w:spacing w:before="40" w:line="560" w:lineRule="exact"/>
              <w:jc w:val="both"/>
              <w:rPr>
                <w:rStyle w:val="19"/>
                <w:rFonts w:ascii="宋体" w:hAnsi="宋体" w:cs="宋体"/>
                <w:b/>
                <w:bCs/>
                <w:kern w:val="0"/>
                <w:sz w:val="24"/>
              </w:rPr>
            </w:pPr>
            <w:r>
              <w:rPr>
                <w:rFonts w:hint="eastAsia" w:ascii="Times New Roman" w:hAnsi="Times New Roman" w:eastAsia="宋体" w:cs="Times New Roman"/>
                <w:b/>
                <w:bCs/>
                <w:kern w:val="0"/>
                <w:sz w:val="22"/>
                <w:szCs w:val="22"/>
                <w:lang w:val="en-US" w:eastAsia="zh-CN"/>
              </w:rPr>
              <w:t>关于加快使用品控与溯源管理系统助推农业产业现代化的建议</w:t>
            </w:r>
          </w:p>
        </w:tc>
      </w:tr>
      <w:tr>
        <w:tblPrEx>
          <w:tblCellMar>
            <w:top w:w="0" w:type="dxa"/>
            <w:left w:w="15" w:type="dxa"/>
            <w:bottom w:w="0" w:type="dxa"/>
            <w:right w:w="15" w:type="dxa"/>
          </w:tblCellMar>
        </w:tblPrEx>
        <w:tc>
          <w:tcPr>
            <w:tcW w:w="1753" w:type="dxa"/>
            <w:vAlign w:val="center"/>
          </w:tcPr>
          <w:p>
            <w:pPr>
              <w:jc w:val="left"/>
              <w:rPr>
                <w:rStyle w:val="19"/>
                <w:rFonts w:ascii="宋体" w:hAnsi="宋体"/>
                <w:kern w:val="0"/>
                <w:sz w:val="24"/>
              </w:rPr>
            </w:pPr>
            <w:r>
              <w:rPr>
                <w:rStyle w:val="19"/>
                <w:rFonts w:ascii="黑体" w:hAnsi="宋体" w:eastAsia="黑体" w:cs="宋体"/>
                <w:b/>
                <w:bCs/>
                <w:kern w:val="0"/>
                <w:sz w:val="24"/>
              </w:rPr>
              <w:t>审查意见</w:t>
            </w:r>
            <w:r>
              <w:rPr>
                <w:rStyle w:val="19"/>
                <w:rFonts w:ascii="宋体" w:hAnsi="宋体" w:cs="宋体"/>
                <w:b/>
                <w:bCs/>
                <w:kern w:val="0"/>
                <w:sz w:val="24"/>
              </w:rPr>
              <w:t>：</w:t>
            </w:r>
          </w:p>
        </w:tc>
        <w:tc>
          <w:tcPr>
            <w:tcW w:w="6797" w:type="dxa"/>
            <w:gridSpan w:val="3"/>
            <w:vAlign w:val="center"/>
          </w:tcPr>
          <w:p>
            <w:pPr>
              <w:jc w:val="left"/>
              <w:rPr>
                <w:rStyle w:val="19"/>
                <w:rFonts w:hint="default" w:ascii="宋体" w:hAnsi="宋体"/>
                <w:kern w:val="0"/>
                <w:sz w:val="24"/>
                <w:lang w:val="en-US" w:eastAsia="zh-CN"/>
              </w:rPr>
            </w:pPr>
            <w:r>
              <w:rPr>
                <w:rStyle w:val="19"/>
                <w:rFonts w:hint="eastAsia" w:ascii="宋体" w:hAnsi="宋体"/>
                <w:kern w:val="0"/>
                <w:sz w:val="24"/>
                <w:szCs w:val="24"/>
                <w:lang w:eastAsia="zh-CN"/>
              </w:rPr>
              <w:t>主办：州农业农村局</w:t>
            </w:r>
            <w:r>
              <w:rPr>
                <w:rStyle w:val="19"/>
                <w:rFonts w:hint="eastAsia" w:ascii="宋体" w:hAnsi="宋体"/>
                <w:kern w:val="0"/>
                <w:sz w:val="24"/>
                <w:szCs w:val="24"/>
                <w:lang w:val="en-US" w:eastAsia="zh-CN"/>
              </w:rPr>
              <w:t xml:space="preserve">   会办：州市场监督管理局</w:t>
            </w:r>
          </w:p>
        </w:tc>
      </w:tr>
      <w:tr>
        <w:tblPrEx>
          <w:tblCellMar>
            <w:top w:w="0" w:type="dxa"/>
            <w:left w:w="15" w:type="dxa"/>
            <w:bottom w:w="0" w:type="dxa"/>
            <w:right w:w="15" w:type="dxa"/>
          </w:tblCellMar>
        </w:tblPrEx>
        <w:tc>
          <w:tcPr>
            <w:tcW w:w="1753" w:type="dxa"/>
            <w:vAlign w:val="center"/>
          </w:tcPr>
          <w:p>
            <w:pPr>
              <w:jc w:val="left"/>
              <w:rPr>
                <w:rStyle w:val="19"/>
                <w:rFonts w:ascii="黑体" w:hAnsi="宋体" w:eastAsia="黑体"/>
                <w:kern w:val="0"/>
                <w:sz w:val="24"/>
              </w:rPr>
            </w:pPr>
            <w:r>
              <w:rPr>
                <w:rStyle w:val="19"/>
                <w:rFonts w:ascii="黑体" w:hAnsi="宋体" w:eastAsia="黑体" w:cs="宋体"/>
                <w:b/>
                <w:bCs/>
                <w:kern w:val="0"/>
                <w:sz w:val="24"/>
              </w:rPr>
              <w:t>提</w:t>
            </w:r>
            <w:r>
              <w:rPr>
                <w:rStyle w:val="19"/>
                <w:rFonts w:hint="eastAsia" w:ascii="黑体" w:hAnsi="宋体" w:eastAsia="黑体" w:cs="宋体"/>
                <w:b/>
                <w:bCs/>
                <w:kern w:val="0"/>
                <w:sz w:val="24"/>
                <w:lang w:val="en-US" w:eastAsia="zh-CN"/>
              </w:rPr>
              <w:t xml:space="preserve"> </w:t>
            </w:r>
            <w:r>
              <w:rPr>
                <w:rStyle w:val="19"/>
                <w:rFonts w:ascii="黑体" w:hAnsi="宋体" w:eastAsia="黑体" w:cs="宋体"/>
                <w:b/>
                <w:bCs/>
                <w:kern w:val="0"/>
                <w:sz w:val="24"/>
              </w:rPr>
              <w:t>案</w:t>
            </w:r>
            <w:r>
              <w:rPr>
                <w:rStyle w:val="19"/>
                <w:rFonts w:hint="eastAsia" w:ascii="黑体" w:hAnsi="宋体" w:eastAsia="黑体" w:cs="宋体"/>
                <w:b/>
                <w:bCs/>
                <w:kern w:val="0"/>
                <w:sz w:val="24"/>
                <w:lang w:val="en-US" w:eastAsia="zh-CN"/>
              </w:rPr>
              <w:t xml:space="preserve"> </w:t>
            </w:r>
            <w:r>
              <w:rPr>
                <w:rStyle w:val="19"/>
                <w:rFonts w:ascii="黑体" w:hAnsi="宋体" w:eastAsia="黑体" w:cs="宋体"/>
                <w:b/>
                <w:bCs/>
                <w:kern w:val="0"/>
                <w:sz w:val="24"/>
              </w:rPr>
              <w:t>人</w:t>
            </w:r>
            <w:r>
              <w:rPr>
                <w:rStyle w:val="19"/>
                <w:rFonts w:ascii="宋体" w:hAnsi="宋体" w:eastAsia="黑体" w:cs="宋体"/>
                <w:b/>
                <w:bCs/>
                <w:kern w:val="0"/>
                <w:sz w:val="24"/>
              </w:rPr>
              <w:t>：</w:t>
            </w:r>
          </w:p>
        </w:tc>
        <w:tc>
          <w:tcPr>
            <w:tcW w:w="3872" w:type="dxa"/>
            <w:vAlign w:val="center"/>
          </w:tcPr>
          <w:p>
            <w:pPr>
              <w:jc w:val="left"/>
              <w:rPr>
                <w:rStyle w:val="19"/>
                <w:rFonts w:ascii="宋体" w:hAnsi="宋体"/>
                <w:kern w:val="0"/>
                <w:sz w:val="24"/>
              </w:rPr>
            </w:pPr>
            <w:r>
              <w:rPr>
                <w:rStyle w:val="19"/>
                <w:rFonts w:ascii="宋体" w:hAnsi="宋体" w:cs="宋体"/>
                <w:b/>
                <w:bCs/>
                <w:kern w:val="0"/>
                <w:sz w:val="24"/>
              </w:rPr>
              <w:t>通讯地址</w:t>
            </w:r>
          </w:p>
        </w:tc>
        <w:tc>
          <w:tcPr>
            <w:tcW w:w="1440" w:type="dxa"/>
            <w:vAlign w:val="center"/>
          </w:tcPr>
          <w:p>
            <w:pPr>
              <w:jc w:val="left"/>
              <w:rPr>
                <w:rStyle w:val="19"/>
                <w:rFonts w:ascii="宋体" w:hAnsi="宋体"/>
                <w:kern w:val="0"/>
                <w:sz w:val="24"/>
              </w:rPr>
            </w:pPr>
            <w:r>
              <w:rPr>
                <w:rStyle w:val="19"/>
                <w:rFonts w:ascii="宋体" w:hAnsi="宋体" w:cs="宋体"/>
                <w:b/>
                <w:bCs/>
                <w:kern w:val="0"/>
                <w:sz w:val="24"/>
              </w:rPr>
              <w:t>邮政编码</w:t>
            </w:r>
          </w:p>
        </w:tc>
        <w:tc>
          <w:tcPr>
            <w:tcW w:w="1485" w:type="dxa"/>
            <w:vAlign w:val="center"/>
          </w:tcPr>
          <w:p>
            <w:pPr>
              <w:jc w:val="left"/>
              <w:rPr>
                <w:rStyle w:val="19"/>
                <w:rFonts w:ascii="宋体" w:hAnsi="宋体"/>
                <w:kern w:val="0"/>
                <w:sz w:val="24"/>
              </w:rPr>
            </w:pPr>
            <w:r>
              <w:rPr>
                <w:rStyle w:val="19"/>
                <w:rFonts w:ascii="宋体" w:hAnsi="宋体" w:cs="宋体"/>
                <w:b/>
                <w:bCs/>
                <w:kern w:val="0"/>
                <w:sz w:val="24"/>
              </w:rPr>
              <w:t>联系电话</w:t>
            </w:r>
          </w:p>
        </w:tc>
      </w:tr>
      <w:tr>
        <w:tc>
          <w:tcPr>
            <w:tcW w:w="1753" w:type="dxa"/>
            <w:vAlign w:val="center"/>
          </w:tcPr>
          <w:p>
            <w:pPr>
              <w:pStyle w:val="20"/>
              <w:ind w:left="0" w:leftChars="0" w:firstLine="0" w:firstLineChars="0"/>
              <w:rPr>
                <w:rFonts w:hint="default"/>
                <w:lang w:val="en-US" w:eastAsia="zh-CN"/>
              </w:rPr>
            </w:pPr>
            <w:r>
              <w:rPr>
                <w:rFonts w:hint="eastAsia"/>
                <w:lang w:val="en-US" w:eastAsia="zh-CN"/>
              </w:rPr>
              <w:t>龙  昂</w:t>
            </w:r>
          </w:p>
        </w:tc>
        <w:tc>
          <w:tcPr>
            <w:tcW w:w="3872" w:type="dxa"/>
            <w:vAlign w:val="center"/>
          </w:tcPr>
          <w:p>
            <w:pPr>
              <w:pStyle w:val="20"/>
              <w:ind w:left="0" w:leftChars="0" w:firstLine="0" w:firstLineChars="0"/>
              <w:rPr>
                <w:rFonts w:hint="default"/>
                <w:lang w:val="en-US" w:eastAsia="zh-CN"/>
              </w:rPr>
            </w:pPr>
            <w:r>
              <w:rPr>
                <w:rFonts w:hint="eastAsia"/>
                <w:lang w:val="en-US" w:eastAsia="zh-CN"/>
              </w:rPr>
              <w:t>黔东南州开发投资（集团）有限责任公司</w:t>
            </w:r>
          </w:p>
        </w:tc>
        <w:tc>
          <w:tcPr>
            <w:tcW w:w="1440" w:type="dxa"/>
            <w:vAlign w:val="center"/>
          </w:tcPr>
          <w:p>
            <w:pPr>
              <w:jc w:val="left"/>
              <w:rPr>
                <w:rFonts w:hint="default" w:eastAsia="宋体"/>
                <w:lang w:val="en-US" w:eastAsia="zh-CN"/>
              </w:rPr>
            </w:pPr>
            <w:r>
              <w:rPr>
                <w:rFonts w:hint="eastAsia"/>
              </w:rPr>
              <w:t>5</w:t>
            </w:r>
            <w:r>
              <w:rPr>
                <w:rFonts w:hint="eastAsia"/>
                <w:lang w:val="en-US" w:eastAsia="zh-CN"/>
              </w:rPr>
              <w:t>56000</w:t>
            </w:r>
          </w:p>
        </w:tc>
        <w:tc>
          <w:tcPr>
            <w:tcW w:w="1485" w:type="dxa"/>
            <w:vAlign w:val="center"/>
          </w:tcPr>
          <w:p>
            <w:pPr>
              <w:pStyle w:val="20"/>
              <w:ind w:left="0" w:leftChars="0" w:firstLine="0" w:firstLineChars="0"/>
              <w:rPr>
                <w:rFonts w:hint="default"/>
                <w:sz w:val="20"/>
                <w:szCs w:val="22"/>
                <w:lang w:val="en-US" w:eastAsia="zh-CN"/>
              </w:rPr>
            </w:pPr>
            <w:r>
              <w:rPr>
                <w:rFonts w:hint="eastAsia"/>
                <w:sz w:val="20"/>
                <w:szCs w:val="22"/>
                <w:lang w:val="en-US" w:eastAsia="zh-CN"/>
              </w:rPr>
              <w:t>13985287388</w:t>
            </w:r>
          </w:p>
        </w:tc>
      </w:tr>
      <w:tr>
        <w:tblPrEx>
          <w:tblCellMar>
            <w:top w:w="0" w:type="dxa"/>
            <w:left w:w="15" w:type="dxa"/>
            <w:bottom w:w="0" w:type="dxa"/>
            <w:right w:w="15" w:type="dxa"/>
          </w:tblCellMar>
        </w:tblPrEx>
        <w:tc>
          <w:tcPr>
            <w:tcW w:w="1753" w:type="dxa"/>
            <w:vAlign w:val="center"/>
          </w:tcPr>
          <w:p>
            <w:pPr>
              <w:jc w:val="left"/>
              <w:rPr>
                <w:rStyle w:val="19"/>
                <w:rFonts w:hint="eastAsia" w:ascii="宋体" w:hAnsi="宋体" w:eastAsia="宋体"/>
                <w:kern w:val="0"/>
                <w:sz w:val="24"/>
                <w:lang w:eastAsia="zh-CN"/>
              </w:rPr>
            </w:pPr>
            <w:r>
              <w:rPr>
                <w:rStyle w:val="19"/>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9"/>
                <w:rFonts w:hint="eastAsia" w:ascii="宋体" w:hAnsi="宋体"/>
                <w:kern w:val="0"/>
                <w:sz w:val="24"/>
                <w:lang w:val="en-US" w:eastAsia="zh-CN"/>
              </w:rPr>
            </w:pPr>
            <w:r>
              <w:rPr>
                <w:rStyle w:val="19"/>
                <w:rFonts w:hint="eastAsia" w:ascii="宋体" w:hAnsi="宋体"/>
                <w:kern w:val="0"/>
                <w:sz w:val="24"/>
                <w:lang w:eastAsia="zh-CN"/>
              </w:rPr>
              <w:t>州委办秘书五科：</w:t>
            </w:r>
            <w:r>
              <w:rPr>
                <w:rStyle w:val="19"/>
                <w:rFonts w:hint="eastAsia" w:ascii="宋体" w:hAnsi="宋体"/>
                <w:kern w:val="0"/>
                <w:sz w:val="24"/>
                <w:lang w:val="en-US" w:eastAsia="zh-CN"/>
              </w:rPr>
              <w:t>8270060；</w:t>
            </w:r>
            <w:r>
              <w:rPr>
                <w:rStyle w:val="19"/>
                <w:rFonts w:hint="eastAsia" w:ascii="宋体" w:hAnsi="宋体"/>
                <w:kern w:val="0"/>
                <w:sz w:val="24"/>
                <w:lang w:eastAsia="zh-CN"/>
              </w:rPr>
              <w:t>州政府办建议提案科：</w:t>
            </w:r>
            <w:r>
              <w:rPr>
                <w:rStyle w:val="19"/>
                <w:rFonts w:hint="eastAsia" w:ascii="宋体" w:hAnsi="宋体"/>
                <w:kern w:val="0"/>
                <w:sz w:val="24"/>
                <w:lang w:val="en-US" w:eastAsia="zh-CN"/>
              </w:rPr>
              <w:t>8260016；</w:t>
            </w:r>
          </w:p>
          <w:p>
            <w:pPr>
              <w:jc w:val="left"/>
              <w:rPr>
                <w:rStyle w:val="19"/>
                <w:rFonts w:hint="default" w:ascii="宋体" w:hAnsi="宋体"/>
                <w:kern w:val="0"/>
                <w:sz w:val="24"/>
                <w:lang w:val="en-US"/>
              </w:rPr>
            </w:pPr>
            <w:r>
              <w:rPr>
                <w:rStyle w:val="19"/>
                <w:rFonts w:hint="eastAsia" w:ascii="宋体" w:hAnsi="宋体"/>
                <w:kern w:val="0"/>
                <w:sz w:val="24"/>
                <w:lang w:eastAsia="zh-CN"/>
              </w:rPr>
              <w:t>州政协提案委：</w:t>
            </w:r>
            <w:r>
              <w:rPr>
                <w:rStyle w:val="19"/>
                <w:rFonts w:hint="eastAsia" w:ascii="宋体" w:hAnsi="宋体"/>
                <w:kern w:val="0"/>
                <w:sz w:val="24"/>
                <w:lang w:val="en-US" w:eastAsia="zh-CN"/>
              </w:rPr>
              <w:t>8428866</w:t>
            </w:r>
            <w:r>
              <w:rPr>
                <w:rStyle w:val="19"/>
                <w:rFonts w:hint="eastAsia" w:ascii="宋体" w:hAnsi="宋体"/>
                <w:kern w:val="0"/>
                <w:sz w:val="24"/>
                <w:lang w:eastAsia="zh-CN"/>
              </w:rPr>
              <w:t>。</w:t>
            </w:r>
          </w:p>
        </w:tc>
      </w:tr>
    </w:tbl>
    <w:p>
      <w:pPr>
        <w:jc w:val="left"/>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9"/>
          <w:rFonts w:hint="eastAsia" w:ascii="仿宋_GB2312" w:hAnsi="宋体" w:eastAsia="仿宋_GB2312"/>
          <w:kern w:val="0"/>
          <w:sz w:val="32"/>
          <w:szCs w:val="32"/>
          <w:lang w:eastAsia="zh-CN"/>
        </w:rPr>
      </w:pPr>
      <w:r>
        <w:rPr>
          <w:rStyle w:val="19"/>
          <w:rFonts w:hint="eastAsia" w:ascii="仿宋_GB2312" w:hAnsi="宋体" w:eastAsia="仿宋_GB2312"/>
          <w:kern w:val="0"/>
          <w:sz w:val="32"/>
          <w:szCs w:val="32"/>
        </w:rPr>
        <w:t>内容和办法</w:t>
      </w:r>
      <w:r>
        <w:rPr>
          <w:rStyle w:val="19"/>
          <w:rFonts w:hint="eastAsia" w:ascii="仿宋_GB2312" w:hAnsi="宋体" w:eastAsia="仿宋_GB2312"/>
          <w:kern w:val="0"/>
          <w:sz w:val="32"/>
          <w:szCs w:val="32"/>
          <w:lang w:eastAsia="zh-CN"/>
        </w:rPr>
        <w:t>：</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农产品追溯是指农产品从生产、加工、仓储、运输到消费市场、餐桌的全过程。农产品追溯体系的建设最主要的就是“一个中心和三大模块”，就是一个追溯云端数据中心及生产者、监管部门和消费者三大模块。结合大数据、云计算以及物联网技术搭建一个云数据处理中心，把生产者、追溯码为信息的传递载体，以农产品追溯标签为表现形式，以农产品溯源信息管理系统为服务途径，实现对各类农产品的种植、养殖、加工、流通、仓储及零售等各个环节的全程监控，实现来源可查、去向可追。</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按照省农业农村厅安排部署，我州农产品质量安全追溯体系建设工作于2019年初启动。截止2021年10月31日，全州应入驻国家追溯平台农产品生产经营主体（企业） 1695个，已注册入驻国家追溯平台农产品生产经营主体（企业）1695个，入驻率100％，其中：凯里120家、麻江64家、丹寨87家、雷山116家、黄平119家、施秉92家、镇远113家、台江68家、剑河94家、三穗128家、岑巩56家、天柱208家、锦屏110家、榕江110家、从江88家、黎平122家。达到了部、省要求的入驻率。</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通过建立品控与溯源管理系统平台可以将黔东南州所有的农业数据进行汇总、统计、分析，形成可视化的柱状图、分布图等，有利于预测黔东南州农业的发展趋势和方向，帮助黔东南州农业的发展，同时加速了地方产业发展，通过线下政策和线上统计分析相结合，形成黔东南州农业生态链，为乡村振兴战略提供有力的产业支撑。</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存在的问题：一是各县市重视程度不一，工作推进不平衡，平台运用工作推进缓慢。目前我州入驻企业总数虽然全省排名靠前，但各县市平台应用环节较为薄弱。二是农业生产经营主体对国家农产品质量安全追溯管理信息平台重要性认识不足。注册国家追溯平台的积极性不高，初期进度缓慢，近期注重入驻平台数量，忽略经营主体质量，未能认真识别剔除“僵尸企业”，影响下一步平台应用。</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建议：</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一是扩大应用范围。督促各县市在完成生产经营主体入驻国家追溯平台的前提下，加快平台应用，这才是建立农产品质量安全追溯管理信息平台的最终目的。二是加强平台的监管和应用。指导企业如何运用平台，采取宣传、培训、参观、体验等形式，让企业尽</w:t>
      </w:r>
      <w:r>
        <w:rPr>
          <w:rStyle w:val="19"/>
          <w:rFonts w:hint="eastAsia" w:ascii="仿宋_GB2312" w:hAnsi="宋体" w:eastAsia="仿宋_GB2312"/>
          <w:kern w:val="0"/>
          <w:sz w:val="32"/>
          <w:szCs w:val="32"/>
          <w:highlight w:val="none"/>
          <w:lang w:val="en-US" w:eastAsia="zh-CN"/>
        </w:rPr>
        <w:t>快感</w:t>
      </w:r>
      <w:r>
        <w:rPr>
          <w:rStyle w:val="19"/>
          <w:rFonts w:hint="eastAsia" w:ascii="仿宋_GB2312" w:hAnsi="宋体" w:eastAsia="仿宋_GB2312"/>
          <w:kern w:val="0"/>
          <w:sz w:val="32"/>
          <w:szCs w:val="32"/>
          <w:lang w:val="en-US" w:eastAsia="zh-CN"/>
        </w:rPr>
        <w:t xml:space="preserve">受到平台在产品质量控制、对外发布信息、产品销售、客户联系、品牌创建等方面带来的方便。另外，要确保入驻企业质量，花大力气甄别“空壳社”， </w:t>
      </w:r>
      <w:r>
        <w:rPr>
          <w:rStyle w:val="19"/>
          <w:rFonts w:hint="eastAsia" w:ascii="仿宋_GB2312" w:hAnsi="宋体" w:eastAsia="仿宋_GB2312"/>
          <w:kern w:val="0"/>
          <w:sz w:val="32"/>
          <w:szCs w:val="32"/>
          <w:highlight w:val="none"/>
          <w:lang w:val="en-US" w:eastAsia="zh-CN"/>
        </w:rPr>
        <w:t>“</w:t>
      </w:r>
      <w:r>
        <w:rPr>
          <w:rStyle w:val="19"/>
          <w:rFonts w:hint="eastAsia" w:ascii="仿宋_GB2312" w:hAnsi="宋体" w:eastAsia="仿宋_GB2312"/>
          <w:kern w:val="0"/>
          <w:sz w:val="32"/>
          <w:szCs w:val="32"/>
          <w:lang w:val="en-US" w:eastAsia="zh-CN"/>
        </w:rPr>
        <w:t>僵尸企业”。三是加快品牌认证。进一步加强农产品认证工作，打造好</w:t>
      </w:r>
      <w:r>
        <w:rPr>
          <w:rStyle w:val="19"/>
          <w:rFonts w:hint="eastAsia" w:ascii="仿宋_GB2312" w:hAnsi="宋体" w:eastAsia="仿宋_GB2312"/>
          <w:kern w:val="0"/>
          <w:sz w:val="32"/>
          <w:szCs w:val="32"/>
          <w:highlight w:val="none"/>
          <w:lang w:val="en-US" w:eastAsia="zh-CN"/>
        </w:rPr>
        <w:t>“</w:t>
      </w:r>
      <w:r>
        <w:rPr>
          <w:rStyle w:val="19"/>
          <w:rFonts w:hint="eastAsia" w:ascii="仿宋_GB2312" w:hAnsi="宋体" w:eastAsia="仿宋_GB2312"/>
          <w:kern w:val="0"/>
          <w:sz w:val="32"/>
          <w:szCs w:val="32"/>
          <w:lang w:val="en-US" w:eastAsia="zh-CN"/>
        </w:rPr>
        <w:t>苗侗山珍”品牌，同步推进农产品认证工作，切实做好品牌培育、申报认证、质量监管工作。</w:t>
      </w:r>
    </w:p>
    <w:p>
      <w:pPr>
        <w:spacing w:line="560" w:lineRule="exact"/>
        <w:ind w:left="0" w:leftChars="0" w:firstLine="640" w:firstLineChars="200"/>
        <w:rPr>
          <w:rFonts w:hint="eastAsia" w:ascii="仿宋_GB2312" w:hAnsi="仿宋_GB2312" w:eastAsia="仿宋_GB2312" w:cs="仿宋_GB2312"/>
          <w:b w:val="0"/>
          <w:i w:val="0"/>
          <w:caps w:val="0"/>
          <w:color w:val="000000"/>
          <w:spacing w:val="0"/>
          <w:w w:val="100"/>
          <w:sz w:val="32"/>
          <w:szCs w:val="32"/>
          <w:lang w:val="en-US" w:eastAsia="zh-CN"/>
        </w:rPr>
      </w:pP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注：1、提案会办单位需将会办意见送主办单位，由主办单位连同《提案答复件》《征询意见表》一并抄送州政协；（涉及目标考核）</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9"/>
          <w:rFonts w:hint="default"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10"/>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Style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C23FF"/>
    <w:multiLevelType w:val="multilevel"/>
    <w:tmpl w:val="1D6C23FF"/>
    <w:lvl w:ilvl="0" w:tentative="0">
      <w:start w:val="1"/>
      <w:numFmt w:val="chineseCounting"/>
      <w:suff w:val="nothing"/>
      <w:lvlText w:val="%1、"/>
      <w:lvlJc w:val="left"/>
      <w:pPr>
        <w:tabs>
          <w:tab w:val="left" w:pos="0"/>
        </w:tabs>
        <w:ind w:firstLine="40"/>
      </w:pPr>
      <w:rPr>
        <w:rFonts w:hint="eastAsia" w:ascii="Times New Roman" w:hAnsi="Times New Roman" w:eastAsia="黑体" w:cs="宋体"/>
        <w:sz w:val="32"/>
        <w:szCs w:val="32"/>
      </w:rPr>
    </w:lvl>
    <w:lvl w:ilvl="1" w:tentative="0">
      <w:start w:val="1"/>
      <w:numFmt w:val="chineseCounting"/>
      <w:suff w:val="nothing"/>
      <w:lvlText w:val="（%2）"/>
      <w:lvlJc w:val="left"/>
      <w:pPr>
        <w:tabs>
          <w:tab w:val="left" w:pos="0"/>
        </w:tabs>
      </w:pPr>
      <w:rPr>
        <w:rFonts w:hint="eastAsia" w:cs="Times New Roman"/>
      </w:rPr>
    </w:lvl>
    <w:lvl w:ilvl="2" w:tentative="0">
      <w:start w:val="1"/>
      <w:numFmt w:val="decimal"/>
      <w:pStyle w:val="5"/>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09EF9F1F"/>
    <w:rsid w:val="0FFBAB29"/>
    <w:rsid w:val="10B40BCC"/>
    <w:rsid w:val="118823F2"/>
    <w:rsid w:val="18EC1E64"/>
    <w:rsid w:val="1AD70FA2"/>
    <w:rsid w:val="1BAB45FA"/>
    <w:rsid w:val="20E366FE"/>
    <w:rsid w:val="21EA0B57"/>
    <w:rsid w:val="25653964"/>
    <w:rsid w:val="29EB237C"/>
    <w:rsid w:val="2EEFEF58"/>
    <w:rsid w:val="2FD84B80"/>
    <w:rsid w:val="30B878C9"/>
    <w:rsid w:val="33552650"/>
    <w:rsid w:val="377737A4"/>
    <w:rsid w:val="38D60616"/>
    <w:rsid w:val="3A7B4D73"/>
    <w:rsid w:val="3BE7499D"/>
    <w:rsid w:val="3D7F297E"/>
    <w:rsid w:val="3F1A5C90"/>
    <w:rsid w:val="3FDFCC08"/>
    <w:rsid w:val="3FF6ED0D"/>
    <w:rsid w:val="3FFB72CC"/>
    <w:rsid w:val="42F10C9F"/>
    <w:rsid w:val="493508EE"/>
    <w:rsid w:val="497C7186"/>
    <w:rsid w:val="4A196944"/>
    <w:rsid w:val="4F1E6C2C"/>
    <w:rsid w:val="4F6B5D70"/>
    <w:rsid w:val="507F065A"/>
    <w:rsid w:val="5236789E"/>
    <w:rsid w:val="559F1A55"/>
    <w:rsid w:val="56AF45AE"/>
    <w:rsid w:val="576FEE59"/>
    <w:rsid w:val="5A7C34BF"/>
    <w:rsid w:val="5AA17385"/>
    <w:rsid w:val="5B7C24C8"/>
    <w:rsid w:val="5DFEB2E5"/>
    <w:rsid w:val="5E7C7E34"/>
    <w:rsid w:val="61895CCF"/>
    <w:rsid w:val="66F35DD9"/>
    <w:rsid w:val="6854075C"/>
    <w:rsid w:val="69A37ABB"/>
    <w:rsid w:val="6FD47A0B"/>
    <w:rsid w:val="762A4BFD"/>
    <w:rsid w:val="7C1F064D"/>
    <w:rsid w:val="7DAF1E8B"/>
    <w:rsid w:val="7DBB9FDA"/>
    <w:rsid w:val="7EFF0D7D"/>
    <w:rsid w:val="7FE0122B"/>
    <w:rsid w:val="7FFF2EBA"/>
    <w:rsid w:val="AEBE54DD"/>
    <w:rsid w:val="B7F73D83"/>
    <w:rsid w:val="B7FF736E"/>
    <w:rsid w:val="BCFF9EFE"/>
    <w:rsid w:val="CCD9BA09"/>
    <w:rsid w:val="DCBB4D71"/>
    <w:rsid w:val="DCF72661"/>
    <w:rsid w:val="DEDBFE39"/>
    <w:rsid w:val="E7F72C30"/>
    <w:rsid w:val="EBB794E2"/>
    <w:rsid w:val="EF7E7B91"/>
    <w:rsid w:val="F6C7B41D"/>
    <w:rsid w:val="F7B75326"/>
    <w:rsid w:val="FD7FF71D"/>
    <w:rsid w:val="FEEF87BA"/>
    <w:rsid w:val="FF7114F5"/>
    <w:rsid w:val="FFEA0C81"/>
    <w:rsid w:val="FFF79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5">
    <w:name w:val="heading 3"/>
    <w:basedOn w:val="1"/>
    <w:next w:val="1"/>
    <w:qFormat/>
    <w:uiPriority w:val="99"/>
    <w:pPr>
      <w:keepNext/>
      <w:keepLines/>
      <w:numPr>
        <w:ilvl w:val="2"/>
        <w:numId w:val="1"/>
      </w:numPr>
      <w:tabs>
        <w:tab w:val="left" w:pos="0"/>
      </w:tabs>
      <w:spacing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left="0" w:leftChars="0" w:firstLine="880" w:firstLineChars="200"/>
    </w:pPr>
    <w:rPr>
      <w:rFonts w:eastAsia="仿宋_GB2312"/>
    </w:rPr>
  </w:style>
  <w:style w:type="paragraph" w:styleId="3">
    <w:name w:val="Body Text Indent"/>
    <w:basedOn w:val="1"/>
    <w:next w:val="4"/>
    <w:qFormat/>
    <w:uiPriority w:val="99"/>
    <w:pPr>
      <w:spacing w:after="120"/>
      <w:ind w:left="420" w:leftChars="200"/>
    </w:pPr>
  </w:style>
  <w:style w:type="paragraph" w:styleId="4">
    <w:name w:val="Body Text"/>
    <w:basedOn w:val="1"/>
    <w:next w:val="5"/>
    <w:qFormat/>
    <w:uiPriority w:val="99"/>
    <w:pPr>
      <w:spacing w:afterAutospacing="1"/>
      <w:ind w:left="101"/>
    </w:pPr>
    <w:rPr>
      <w:rFonts w:ascii="宋体" w:hAnsi="宋体"/>
      <w:sz w:val="29"/>
      <w:szCs w:val="29"/>
    </w:rPr>
  </w:style>
  <w:style w:type="paragraph" w:styleId="6">
    <w:name w:val="table of authorities"/>
    <w:basedOn w:val="1"/>
    <w:next w:val="1"/>
    <w:qFormat/>
    <w:uiPriority w:val="0"/>
    <w:pPr>
      <w:ind w:left="420" w:leftChars="200"/>
    </w:pPr>
    <w:rPr>
      <w:szCs w:val="20"/>
    </w:rPr>
  </w:style>
  <w:style w:type="paragraph" w:styleId="7">
    <w:name w:val="Block Text"/>
    <w:basedOn w:val="1"/>
    <w:unhideWhenUsed/>
    <w:qFormat/>
    <w:uiPriority w:val="99"/>
    <w:pPr>
      <w:spacing w:after="120"/>
      <w:ind w:left="1440" w:leftChars="700" w:right="1440" w:rightChars="700"/>
    </w:pPr>
  </w:style>
  <w:style w:type="paragraph" w:styleId="8">
    <w:name w:val="Body Text Indent 2"/>
    <w:basedOn w:val="1"/>
    <w:next w:val="9"/>
    <w:qFormat/>
    <w:uiPriority w:val="99"/>
    <w:pPr>
      <w:spacing w:after="120" w:line="480" w:lineRule="auto"/>
      <w:ind w:left="420" w:leftChars="200"/>
    </w:pPr>
  </w:style>
  <w:style w:type="paragraph" w:styleId="9">
    <w:name w:val="Body Text Indent 3"/>
    <w:basedOn w:val="1"/>
    <w:qFormat/>
    <w:uiPriority w:val="99"/>
    <w:pPr>
      <w:ind w:left="200" w:leftChars="200"/>
    </w:pPr>
    <w:rPr>
      <w:sz w:val="16"/>
    </w:rPr>
  </w:style>
  <w:style w:type="paragraph" w:styleId="10">
    <w:name w:val="footer"/>
    <w:basedOn w:val="1"/>
    <w:link w:val="31"/>
    <w:qFormat/>
    <w:uiPriority w:val="99"/>
    <w:pPr>
      <w:snapToGrid w:val="0"/>
      <w:jc w:val="left"/>
    </w:pPr>
    <w:rPr>
      <w:sz w:val="18"/>
      <w:szCs w:val="18"/>
    </w:rPr>
  </w:style>
  <w:style w:type="paragraph" w:styleId="11">
    <w:name w:val="header"/>
    <w:basedOn w:val="1"/>
    <w:qFormat/>
    <w:uiPriority w:val="0"/>
    <w:pPr>
      <w:pBdr>
        <w:bottom w:val="single" w:color="000000" w:sz="6" w:space="0"/>
      </w:pBdr>
      <w:snapToGrid w:val="0"/>
      <w:jc w:val="center"/>
    </w:pPr>
    <w:rPr>
      <w:sz w:val="18"/>
      <w:szCs w:val="18"/>
    </w:rPr>
  </w:style>
  <w:style w:type="paragraph" w:styleId="12">
    <w:name w:val="footnote text"/>
    <w:basedOn w:val="1"/>
    <w:semiHidden/>
    <w:qFormat/>
    <w:uiPriority w:val="0"/>
    <w:pPr>
      <w:snapToGrid w:val="0"/>
      <w:jc w:val="left"/>
    </w:pPr>
    <w:rPr>
      <w:sz w:val="18"/>
      <w:szCs w:val="18"/>
    </w:rPr>
  </w:style>
  <w:style w:type="paragraph" w:styleId="13">
    <w:name w:val="Body Text 2"/>
    <w:basedOn w:val="1"/>
    <w:qFormat/>
    <w:uiPriority w:val="0"/>
    <w:pPr>
      <w:spacing w:after="120" w:line="480" w:lineRule="auto"/>
    </w:pPr>
  </w:style>
  <w:style w:type="paragraph" w:styleId="14">
    <w:name w:val="Normal (Web)"/>
    <w:basedOn w:val="1"/>
    <w:qFormat/>
    <w:uiPriority w:val="0"/>
    <w:pPr>
      <w:spacing w:beforeAutospacing="1" w:afterAutospacing="1"/>
      <w:jc w:val="left"/>
    </w:pPr>
    <w:rPr>
      <w:kern w:val="0"/>
      <w:sz w:val="24"/>
    </w:rPr>
  </w:style>
  <w:style w:type="character" w:styleId="17">
    <w:name w:val="Strong"/>
    <w:qFormat/>
    <w:uiPriority w:val="0"/>
    <w:rPr>
      <w:rFonts w:cs="Times New Roman"/>
      <w:b/>
      <w:bCs/>
    </w:rPr>
  </w:style>
  <w:style w:type="character" w:styleId="18">
    <w:name w:val="Hyperlink"/>
    <w:basedOn w:val="19"/>
    <w:semiHidden/>
    <w:qFormat/>
    <w:uiPriority w:val="0"/>
    <w:rPr>
      <w:color w:val="0000FF"/>
      <w:u w:val="single"/>
    </w:rPr>
  </w:style>
  <w:style w:type="character" w:customStyle="1" w:styleId="19">
    <w:name w:val="NormalCharacter"/>
    <w:semiHidden/>
    <w:qFormat/>
    <w:uiPriority w:val="0"/>
  </w:style>
  <w:style w:type="paragraph" w:customStyle="1" w:styleId="20">
    <w:name w:val="Body Text First Indent 21"/>
    <w:basedOn w:val="21"/>
    <w:qFormat/>
    <w:uiPriority w:val="99"/>
    <w:pPr>
      <w:ind w:firstLine="420" w:firstLineChars="200"/>
    </w:pPr>
  </w:style>
  <w:style w:type="paragraph" w:customStyle="1" w:styleId="21">
    <w:name w:val="Body Text Indent1"/>
    <w:basedOn w:val="1"/>
    <w:qFormat/>
    <w:uiPriority w:val="99"/>
    <w:pPr>
      <w:ind w:left="420" w:leftChars="200"/>
    </w:pPr>
  </w:style>
  <w:style w:type="paragraph" w:customStyle="1" w:styleId="22">
    <w:name w:val="Heading1"/>
    <w:basedOn w:val="1"/>
    <w:link w:val="28"/>
    <w:qFormat/>
    <w:uiPriority w:val="0"/>
    <w:pPr>
      <w:spacing w:before="100" w:beforeAutospacing="1" w:after="100" w:afterAutospacing="1"/>
      <w:jc w:val="left"/>
    </w:pPr>
    <w:rPr>
      <w:rFonts w:ascii="宋体" w:hAnsi="宋体" w:cs="宋体"/>
      <w:b/>
      <w:bCs/>
      <w:kern w:val="36"/>
      <w:sz w:val="48"/>
      <w:szCs w:val="48"/>
    </w:rPr>
  </w:style>
  <w:style w:type="table" w:customStyle="1" w:styleId="23">
    <w:name w:val="TableNormal"/>
    <w:semiHidden/>
    <w:qFormat/>
    <w:uiPriority w:val="0"/>
    <w:tblPr>
      <w:tblCellMar>
        <w:top w:w="0" w:type="dxa"/>
        <w:left w:w="0" w:type="dxa"/>
        <w:bottom w:w="0" w:type="dxa"/>
        <w:right w:w="0" w:type="dxa"/>
      </w:tblCellMar>
    </w:tblPr>
  </w:style>
  <w:style w:type="paragraph" w:customStyle="1" w:styleId="24">
    <w:name w:val="Acetate"/>
    <w:basedOn w:val="1"/>
    <w:qFormat/>
    <w:uiPriority w:val="0"/>
    <w:rPr>
      <w:sz w:val="18"/>
      <w:szCs w:val="18"/>
    </w:rPr>
  </w:style>
  <w:style w:type="paragraph" w:customStyle="1" w:styleId="25">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6">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7">
    <w:name w:val="UserStyle_2"/>
    <w:basedOn w:val="1"/>
    <w:qFormat/>
    <w:uiPriority w:val="0"/>
    <w:pPr>
      <w:spacing w:before="100" w:beforeAutospacing="1" w:after="100" w:afterAutospacing="1"/>
      <w:jc w:val="left"/>
    </w:pPr>
    <w:rPr>
      <w:rFonts w:ascii="宋体" w:hAnsi="宋体"/>
      <w:kern w:val="0"/>
      <w:sz w:val="24"/>
    </w:rPr>
  </w:style>
  <w:style w:type="character" w:customStyle="1" w:styleId="28">
    <w:name w:val="UserStyle_3"/>
    <w:basedOn w:val="19"/>
    <w:link w:val="22"/>
    <w:qFormat/>
    <w:uiPriority w:val="0"/>
    <w:rPr>
      <w:rFonts w:ascii="宋体" w:hAnsi="宋体" w:cs="宋体"/>
      <w:b/>
      <w:bCs/>
      <w:kern w:val="36"/>
      <w:sz w:val="48"/>
      <w:szCs w:val="48"/>
    </w:rPr>
  </w:style>
  <w:style w:type="character" w:customStyle="1" w:styleId="29">
    <w:name w:val="UserStyle_4"/>
    <w:basedOn w:val="19"/>
    <w:qFormat/>
    <w:uiPriority w:val="0"/>
  </w:style>
  <w:style w:type="paragraph" w:customStyle="1" w:styleId="30">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31">
    <w:name w:val="页脚 Char"/>
    <w:basedOn w:val="16"/>
    <w:link w:val="10"/>
    <w:qFormat/>
    <w:uiPriority w:val="99"/>
    <w:rPr>
      <w:rFonts w:cstheme="minorBidi"/>
      <w:kern w:val="2"/>
      <w:sz w:val="18"/>
      <w:szCs w:val="18"/>
    </w:rPr>
  </w:style>
  <w:style w:type="paragraph" w:customStyle="1" w:styleId="32">
    <w:name w:val="正文-公1"/>
    <w:basedOn w:val="1"/>
    <w:qFormat/>
    <w:uiPriority w:val="99"/>
    <w:pPr>
      <w:ind w:firstLine="200" w:firstLineChars="200"/>
    </w:pPr>
    <w:rPr>
      <w:rFonts w:ascii="Calibri" w:hAnsi="Calibri"/>
    </w:rPr>
  </w:style>
  <w:style w:type="paragraph" w:customStyle="1" w:styleId="33">
    <w:name w:val="Body text|2"/>
    <w:basedOn w:val="1"/>
    <w:qFormat/>
    <w:uiPriority w:val="0"/>
    <w:pPr>
      <w:spacing w:after="300"/>
      <w:ind w:firstLine="740"/>
    </w:pPr>
    <w:rPr>
      <w:rFonts w:ascii="宋体" w:hAnsi="宋体" w:cs="宋体"/>
      <w:sz w:val="26"/>
      <w:szCs w:val="26"/>
      <w:lang w:val="zh-TW" w:eastAsia="zh-TW" w:bidi="zh-TW"/>
    </w:rPr>
  </w:style>
  <w:style w:type="paragraph" w:customStyle="1" w:styleId="34">
    <w:name w:val="正文文本首行缩进 2"/>
    <w:basedOn w:val="3"/>
    <w:qFormat/>
    <w:uiPriority w:val="0"/>
    <w:pPr>
      <w:ind w:firstLine="420" w:firstLineChars="200"/>
    </w:pPr>
    <w:rPr>
      <w:rFonts w:ascii="Calibri" w:hAnsi="Calibri" w:eastAsia="宋体" w:cs="宋体"/>
    </w:rPr>
  </w:style>
  <w:style w:type="paragraph" w:customStyle="1" w:styleId="35">
    <w:name w:val="BodyText2"/>
    <w:basedOn w:val="1"/>
    <w:qFormat/>
    <w:uiPriority w:val="0"/>
    <w:pPr>
      <w:widowControl/>
      <w:spacing w:after="120" w:line="480" w:lineRule="auto"/>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2</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2021-01-15T04:51:00Z</dcterms:created>
  <dc:creator>Administrator</dc:creator>
  <cp:lastModifiedBy>丘丘</cp:lastModifiedBy>
  <cp:lastPrinted>2022-01-08T18:06:00Z</cp:lastPrinted>
  <dcterms:modified xsi:type="dcterms:W3CDTF">2022-01-08T09:52:18Z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