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5"/>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5"/>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027</w:t>
      </w:r>
      <w:bookmarkStart w:id="0" w:name="_GoBack"/>
      <w:bookmarkEnd w:id="0"/>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类别：政治建设类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pStyle w:val="14"/>
              <w:widowControl/>
              <w:spacing w:before="40" w:line="560" w:lineRule="exact"/>
              <w:jc w:val="both"/>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关于加强老年人信息无障碍建设的的建议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主办：州民政局</w:t>
            </w:r>
            <w:r>
              <w:rPr>
                <w:rStyle w:val="19"/>
                <w:rFonts w:hint="eastAsia" w:ascii="宋体" w:hAnsi="宋体"/>
                <w:kern w:val="0"/>
                <w:sz w:val="24"/>
                <w:szCs w:val="24"/>
                <w:lang w:val="en-US" w:eastAsia="zh-CN"/>
              </w:rPr>
              <w:t xml:space="preserve">   会办：州工信局、州委老干局</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20"/>
              <w:ind w:left="0" w:leftChars="0" w:firstLine="0" w:firstLineChars="0"/>
              <w:rPr>
                <w:rFonts w:hint="default"/>
                <w:lang w:val="en-US" w:eastAsia="zh-CN"/>
              </w:rPr>
            </w:pPr>
            <w:r>
              <w:rPr>
                <w:rFonts w:hint="eastAsia"/>
                <w:lang w:val="en-US" w:eastAsia="zh-CN"/>
              </w:rPr>
              <w:t>文仁刚</w:t>
            </w:r>
          </w:p>
        </w:tc>
        <w:tc>
          <w:tcPr>
            <w:tcW w:w="3872" w:type="dxa"/>
            <w:vAlign w:val="center"/>
          </w:tcPr>
          <w:p>
            <w:pPr>
              <w:pStyle w:val="20"/>
              <w:ind w:left="0" w:leftChars="0" w:firstLine="0" w:firstLineChars="0"/>
              <w:rPr>
                <w:rFonts w:hint="default"/>
                <w:lang w:val="en-US" w:eastAsia="zh-CN"/>
              </w:rPr>
            </w:pPr>
            <w:r>
              <w:rPr>
                <w:rFonts w:hint="eastAsia"/>
                <w:lang w:val="en-US" w:eastAsia="zh-CN"/>
              </w:rPr>
              <w:t>凯里市委宣传部</w:t>
            </w:r>
          </w:p>
        </w:tc>
        <w:tc>
          <w:tcPr>
            <w:tcW w:w="1440" w:type="dxa"/>
            <w:vAlign w:val="center"/>
          </w:tcPr>
          <w:p>
            <w:pPr>
              <w:jc w:val="left"/>
              <w:rPr>
                <w:rFonts w:hint="default" w:eastAsia="宋体"/>
                <w:lang w:val="en-US" w:eastAsia="zh-CN"/>
              </w:rPr>
            </w:pPr>
            <w:r>
              <w:rPr>
                <w:rFonts w:hint="eastAsia"/>
              </w:rPr>
              <w:t>5</w:t>
            </w:r>
            <w:r>
              <w:rPr>
                <w:rFonts w:hint="eastAsia"/>
                <w:lang w:val="en-US" w:eastAsia="zh-CN"/>
              </w:rPr>
              <w:t>56000</w:t>
            </w:r>
          </w:p>
        </w:tc>
        <w:tc>
          <w:tcPr>
            <w:tcW w:w="1485" w:type="dxa"/>
            <w:vAlign w:val="center"/>
          </w:tcPr>
          <w:p>
            <w:pPr>
              <w:pStyle w:val="20"/>
              <w:ind w:left="0" w:leftChars="0" w:firstLine="0" w:firstLineChars="0"/>
              <w:rPr>
                <w:rFonts w:hint="default"/>
                <w:sz w:val="20"/>
                <w:szCs w:val="22"/>
                <w:lang w:val="en-US" w:eastAsia="zh-CN"/>
              </w:rPr>
            </w:pPr>
            <w:r>
              <w:rPr>
                <w:rFonts w:hint="eastAsia"/>
                <w:sz w:val="20"/>
                <w:szCs w:val="22"/>
                <w:lang w:val="en-US" w:eastAsia="zh-CN"/>
              </w:rPr>
              <w:t>13708552065</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lang w:eastAsia="zh-CN"/>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随着人工智能移动终瑞的高速发展，老年人在运用智能手机方面，逐渐跟不上时代的步伐，成为了新的弱势群体。随着我国老龄化社会的趋势加强，信息无障碍建没工作将成为我州下一步全面建设小康社会的一个短板和弱项，信息无障碍建设水平将影响老年人、残障同胞等弱势群体奔小康的进程。</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目前全州60岁以上老年占全州总人口23.64%，</w:t>
      </w:r>
      <w:r>
        <w:rPr>
          <w:rStyle w:val="19"/>
          <w:rFonts w:hint="eastAsia" w:ascii="仿宋_GB2312" w:hAnsi="宋体" w:eastAsia="仿宋_GB2312"/>
          <w:kern w:val="0"/>
          <w:sz w:val="32"/>
          <w:szCs w:val="32"/>
          <w:lang w:val="en-US" w:eastAsia="zh-CN"/>
        </w:rPr>
        <w:t>并</w:t>
      </w:r>
      <w:r>
        <w:rPr>
          <w:rStyle w:val="19"/>
          <w:rFonts w:hint="eastAsia" w:ascii="仿宋_GB2312" w:hAnsi="宋体" w:eastAsia="仿宋_GB2312"/>
          <w:kern w:val="0"/>
          <w:sz w:val="32"/>
          <w:szCs w:val="32"/>
          <w:lang w:val="en-US" w:eastAsia="en-US"/>
        </w:rPr>
        <w:t>呈现上升趋势，由于老年人身体机能和知识结构方面的缺陷特点，老年人使用智能手机存在诸多困难，呈现全社会漠不关心的局面。其实移动终端在为老年人获取信息，便捷出行，通迅交流等方面提供的帮助更大，人工</w:t>
      </w:r>
      <w:r>
        <w:rPr>
          <w:rStyle w:val="19"/>
          <w:rFonts w:hint="eastAsia" w:ascii="仿宋_GB2312" w:hAnsi="宋体" w:eastAsia="仿宋_GB2312"/>
          <w:kern w:val="0"/>
          <w:sz w:val="32"/>
          <w:szCs w:val="32"/>
          <w:lang w:val="en-US" w:eastAsia="zh-CN"/>
        </w:rPr>
        <w:t>智</w:t>
      </w:r>
      <w:r>
        <w:rPr>
          <w:rStyle w:val="19"/>
          <w:rFonts w:hint="eastAsia" w:ascii="仿宋_GB2312" w:hAnsi="宋体" w:eastAsia="仿宋_GB2312"/>
          <w:kern w:val="0"/>
          <w:sz w:val="32"/>
          <w:szCs w:val="32"/>
          <w:lang w:val="en-US" w:eastAsia="en-US"/>
        </w:rPr>
        <w:t>能在语音交流</w:t>
      </w:r>
      <w:r>
        <w:rPr>
          <w:rStyle w:val="19"/>
          <w:rFonts w:hint="eastAsia" w:ascii="仿宋_GB2312" w:hAnsi="宋体" w:eastAsia="仿宋_GB2312"/>
          <w:kern w:val="0"/>
          <w:sz w:val="32"/>
          <w:szCs w:val="32"/>
          <w:lang w:val="en-US" w:eastAsia="zh-CN"/>
        </w:rPr>
        <w:t>、</w:t>
      </w:r>
      <w:r>
        <w:rPr>
          <w:rStyle w:val="19"/>
          <w:rFonts w:hint="eastAsia" w:ascii="仿宋_GB2312" w:hAnsi="宋体" w:eastAsia="仿宋_GB2312"/>
          <w:kern w:val="0"/>
          <w:sz w:val="32"/>
          <w:szCs w:val="32"/>
          <w:lang w:val="en-US" w:eastAsia="en-US"/>
        </w:rPr>
        <w:t>网购</w:t>
      </w:r>
      <w:r>
        <w:rPr>
          <w:rStyle w:val="19"/>
          <w:rFonts w:hint="eastAsia" w:ascii="仿宋_GB2312" w:hAnsi="宋体" w:eastAsia="仿宋_GB2312"/>
          <w:kern w:val="0"/>
          <w:sz w:val="32"/>
          <w:szCs w:val="32"/>
          <w:lang w:val="en-US" w:eastAsia="zh-CN"/>
        </w:rPr>
        <w:t>、</w:t>
      </w:r>
      <w:r>
        <w:rPr>
          <w:rStyle w:val="19"/>
          <w:rFonts w:hint="eastAsia" w:ascii="仿宋_GB2312" w:hAnsi="宋体" w:eastAsia="仿宋_GB2312"/>
          <w:kern w:val="0"/>
          <w:sz w:val="32"/>
          <w:szCs w:val="32"/>
          <w:lang w:val="en-US" w:eastAsia="en-US"/>
        </w:rPr>
        <w:t>医疗服务方面为老年人</w:t>
      </w:r>
      <w:r>
        <w:rPr>
          <w:rStyle w:val="19"/>
          <w:rFonts w:hint="eastAsia" w:ascii="仿宋_GB2312" w:hAnsi="宋体" w:eastAsia="仿宋_GB2312"/>
          <w:kern w:val="0"/>
          <w:sz w:val="32"/>
          <w:szCs w:val="32"/>
          <w:lang w:val="en-US" w:eastAsia="zh-CN"/>
        </w:rPr>
        <w:t>提</w:t>
      </w:r>
      <w:r>
        <w:rPr>
          <w:rStyle w:val="19"/>
          <w:rFonts w:hint="eastAsia" w:ascii="仿宋_GB2312" w:hAnsi="宋体" w:eastAsia="仿宋_GB2312"/>
          <w:kern w:val="0"/>
          <w:sz w:val="32"/>
          <w:szCs w:val="32"/>
          <w:lang w:val="en-US" w:eastAsia="en-US"/>
        </w:rPr>
        <w:t>供的解决路径更多。这些技术的应用对年青人来说是改善生活，对他们来说则是改变命运。</w:t>
      </w:r>
    </w:p>
    <w:p>
      <w:pPr>
        <w:spacing w:line="560" w:lineRule="exact"/>
        <w:ind w:left="0" w:leftChars="0" w:firstLine="640" w:firstLineChars="200"/>
        <w:rPr>
          <w:rStyle w:val="19"/>
          <w:rFonts w:hint="eastAsia" w:ascii="仿宋_GB2312" w:hAnsi="宋体" w:eastAsia="仿宋_GB2312"/>
          <w:kern w:val="0"/>
          <w:sz w:val="32"/>
          <w:szCs w:val="32"/>
          <w:lang w:val="en-US" w:eastAsia="en-US"/>
        </w:rPr>
      </w:pPr>
      <w:r>
        <w:rPr>
          <w:rStyle w:val="19"/>
          <w:rFonts w:hint="eastAsia" w:ascii="仿宋_GB2312" w:hAnsi="宋体" w:eastAsia="仿宋_GB2312"/>
          <w:kern w:val="0"/>
          <w:sz w:val="32"/>
          <w:szCs w:val="32"/>
          <w:lang w:val="en-US" w:eastAsia="en-US"/>
        </w:rPr>
        <w:t>为方便老年人在使用人</w:t>
      </w:r>
      <w:r>
        <w:rPr>
          <w:rStyle w:val="19"/>
          <w:rFonts w:hint="eastAsia" w:ascii="仿宋_GB2312" w:hAnsi="宋体" w:eastAsia="仿宋_GB2312"/>
          <w:kern w:val="0"/>
          <w:sz w:val="32"/>
          <w:szCs w:val="32"/>
          <w:lang w:val="en-US" w:eastAsia="zh-CN"/>
        </w:rPr>
        <w:t>工</w:t>
      </w:r>
      <w:r>
        <w:rPr>
          <w:rStyle w:val="19"/>
          <w:rFonts w:hint="eastAsia" w:ascii="仿宋_GB2312" w:hAnsi="宋体" w:eastAsia="仿宋_GB2312"/>
          <w:kern w:val="0"/>
          <w:sz w:val="32"/>
          <w:szCs w:val="32"/>
          <w:lang w:val="en-US" w:eastAsia="en-US"/>
        </w:rPr>
        <w:t>智能终端而应用时能够学得会，买得到，用得体面。</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建议：</w:t>
      </w:r>
    </w:p>
    <w:p>
      <w:pPr>
        <w:spacing w:line="560" w:lineRule="exact"/>
        <w:ind w:left="0" w:leftChars="0" w:firstLine="640" w:firstLineChars="200"/>
        <w:rPr>
          <w:rStyle w:val="19"/>
          <w:rFonts w:hint="eastAsia" w:ascii="方正黑体_GBK" w:hAnsi="方正黑体_GBK" w:eastAsia="方正黑体_GBK" w:cs="方正黑体_GBK"/>
          <w:kern w:val="0"/>
          <w:sz w:val="32"/>
          <w:szCs w:val="32"/>
          <w:lang w:val="en-US" w:eastAsia="en-US"/>
        </w:rPr>
      </w:pPr>
      <w:r>
        <w:rPr>
          <w:rStyle w:val="19"/>
          <w:rFonts w:hint="eastAsia" w:ascii="方正黑体_GBK" w:hAnsi="方正黑体_GBK" w:eastAsia="方正黑体_GBK" w:cs="方正黑体_GBK"/>
          <w:kern w:val="0"/>
          <w:sz w:val="32"/>
          <w:szCs w:val="32"/>
          <w:lang w:val="en-US" w:eastAsia="en-US"/>
        </w:rPr>
        <w:t>一、加快制度设计</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一是在政府层</w:t>
      </w:r>
      <w:r>
        <w:rPr>
          <w:rStyle w:val="19"/>
          <w:rFonts w:hint="eastAsia" w:ascii="仿宋_GB2312" w:hAnsi="宋体" w:eastAsia="仿宋_GB2312"/>
          <w:kern w:val="0"/>
          <w:sz w:val="32"/>
          <w:szCs w:val="32"/>
          <w:lang w:val="en-US" w:eastAsia="zh-CN"/>
        </w:rPr>
        <w:t>面</w:t>
      </w:r>
      <w:r>
        <w:rPr>
          <w:rStyle w:val="19"/>
          <w:rFonts w:hint="eastAsia" w:ascii="仿宋_GB2312" w:hAnsi="宋体" w:eastAsia="仿宋_GB2312"/>
          <w:kern w:val="0"/>
          <w:sz w:val="32"/>
          <w:szCs w:val="32"/>
          <w:lang w:val="en-US" w:eastAsia="en-US"/>
        </w:rPr>
        <w:t>尽快出台我州《信息无障碍建设工作方案》。明确此项</w:t>
      </w:r>
      <w:r>
        <w:rPr>
          <w:rStyle w:val="19"/>
          <w:rFonts w:hint="eastAsia" w:ascii="仿宋_GB2312" w:hAnsi="宋体" w:eastAsia="仿宋_GB2312"/>
          <w:kern w:val="0"/>
          <w:sz w:val="32"/>
          <w:szCs w:val="32"/>
          <w:lang w:val="en-US" w:eastAsia="zh-CN"/>
        </w:rPr>
        <w:t>工</w:t>
      </w:r>
      <w:r>
        <w:rPr>
          <w:rStyle w:val="19"/>
          <w:rFonts w:hint="eastAsia" w:ascii="仿宋_GB2312" w:hAnsi="宋体" w:eastAsia="仿宋_GB2312"/>
          <w:kern w:val="0"/>
          <w:sz w:val="32"/>
          <w:szCs w:val="32"/>
          <w:lang w:val="en-US" w:eastAsia="en-US"/>
        </w:rPr>
        <w:t>作组织机构和各部的职责，进一步细化信息无</w:t>
      </w:r>
      <w:r>
        <w:rPr>
          <w:rStyle w:val="19"/>
          <w:rFonts w:hint="eastAsia" w:ascii="仿宋_GB2312" w:hAnsi="宋体" w:eastAsia="仿宋_GB2312"/>
          <w:kern w:val="0"/>
          <w:sz w:val="32"/>
          <w:szCs w:val="32"/>
          <w:lang w:val="en-US" w:eastAsia="zh-CN"/>
        </w:rPr>
        <w:t>障</w:t>
      </w:r>
      <w:r>
        <w:rPr>
          <w:rStyle w:val="19"/>
          <w:rFonts w:hint="eastAsia" w:ascii="仿宋_GB2312" w:hAnsi="宋体" w:eastAsia="仿宋_GB2312"/>
          <w:kern w:val="0"/>
          <w:sz w:val="32"/>
          <w:szCs w:val="32"/>
          <w:lang w:val="en-US" w:eastAsia="en-US"/>
        </w:rPr>
        <w:t>碍建设工作内容。二是将信息无障碍建设工作纳入“十四五规划”，切实加强领导创新措施，推广信息无障碍理念， 营造全社会关心、支持、参与信息无碍障建设的良好氛围。</w:t>
      </w:r>
    </w:p>
    <w:p>
      <w:pPr>
        <w:spacing w:line="560" w:lineRule="exact"/>
        <w:ind w:left="0" w:leftChars="0" w:firstLine="640" w:firstLineChars="200"/>
        <w:rPr>
          <w:rStyle w:val="19"/>
          <w:rFonts w:hint="eastAsia" w:ascii="方正黑体_GBK" w:hAnsi="方正黑体_GBK" w:eastAsia="方正黑体_GBK" w:cs="方正黑体_GBK"/>
          <w:kern w:val="0"/>
          <w:sz w:val="32"/>
          <w:szCs w:val="32"/>
          <w:lang w:val="en-US" w:eastAsia="en-US"/>
        </w:rPr>
      </w:pPr>
      <w:r>
        <w:rPr>
          <w:rStyle w:val="19"/>
          <w:rFonts w:hint="eastAsia" w:ascii="方正黑体_GBK" w:hAnsi="方正黑体_GBK" w:eastAsia="方正黑体_GBK" w:cs="方正黑体_GBK"/>
          <w:kern w:val="0"/>
          <w:sz w:val="32"/>
          <w:szCs w:val="32"/>
          <w:lang w:val="en-US" w:eastAsia="en-US"/>
        </w:rPr>
        <w:t>二、相关部门率先垂范</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一是政府</w:t>
      </w:r>
      <w:r>
        <w:rPr>
          <w:rStyle w:val="19"/>
          <w:rFonts w:hint="eastAsia" w:ascii="仿宋_GB2312" w:hAnsi="宋体" w:eastAsia="仿宋_GB2312"/>
          <w:kern w:val="0"/>
          <w:sz w:val="32"/>
          <w:szCs w:val="32"/>
          <w:lang w:val="en-US" w:eastAsia="zh-CN"/>
        </w:rPr>
        <w:t>采购</w:t>
      </w:r>
      <w:r>
        <w:rPr>
          <w:rStyle w:val="19"/>
          <w:rFonts w:hint="eastAsia" w:ascii="仿宋_GB2312" w:hAnsi="宋体" w:eastAsia="仿宋_GB2312"/>
          <w:kern w:val="0"/>
          <w:sz w:val="32"/>
          <w:szCs w:val="32"/>
          <w:lang w:val="en-US" w:eastAsia="en-US"/>
        </w:rPr>
        <w:t>相关应用终端时要将老年人信息无障碍内容列入采购标准；在智慧城市建设方面要充分考虑老年人信息无障碍</w:t>
      </w:r>
      <w:r>
        <w:rPr>
          <w:rStyle w:val="19"/>
          <w:rFonts w:hint="eastAsia" w:ascii="仿宋_GB2312" w:hAnsi="宋体" w:eastAsia="仿宋_GB2312"/>
          <w:kern w:val="0"/>
          <w:sz w:val="32"/>
          <w:szCs w:val="32"/>
          <w:lang w:val="en-US" w:eastAsia="zh-CN"/>
        </w:rPr>
        <w:t>方</w:t>
      </w:r>
      <w:r>
        <w:rPr>
          <w:rStyle w:val="19"/>
          <w:rFonts w:hint="eastAsia" w:ascii="仿宋_GB2312" w:hAnsi="宋体" w:eastAsia="仿宋_GB2312"/>
          <w:kern w:val="0"/>
          <w:sz w:val="32"/>
          <w:szCs w:val="32"/>
          <w:lang w:val="en-US" w:eastAsia="en-US"/>
        </w:rPr>
        <w:t>面内容，不能因</w:t>
      </w:r>
      <w:r>
        <w:rPr>
          <w:rStyle w:val="19"/>
          <w:rFonts w:hint="eastAsia" w:ascii="仿宋_GB2312" w:hAnsi="宋体" w:eastAsia="仿宋_GB2312"/>
          <w:kern w:val="0"/>
          <w:sz w:val="32"/>
          <w:szCs w:val="32"/>
          <w:lang w:val="en-US" w:eastAsia="zh-CN"/>
        </w:rPr>
        <w:t>枝</w:t>
      </w:r>
      <w:r>
        <w:rPr>
          <w:rStyle w:val="19"/>
          <w:rFonts w:hint="eastAsia" w:ascii="仿宋_GB2312" w:hAnsi="宋体" w:eastAsia="仿宋_GB2312"/>
          <w:kern w:val="0"/>
          <w:sz w:val="32"/>
          <w:szCs w:val="32"/>
          <w:lang w:val="en-US" w:eastAsia="en-US"/>
        </w:rPr>
        <w:t>术问题让老年人掉队。二是公共服务部门</w:t>
      </w:r>
      <w:r>
        <w:rPr>
          <w:rStyle w:val="19"/>
          <w:rFonts w:hint="eastAsia" w:ascii="仿宋_GB2312" w:hAnsi="宋体" w:eastAsia="仿宋_GB2312"/>
          <w:kern w:val="0"/>
          <w:sz w:val="32"/>
          <w:szCs w:val="32"/>
          <w:lang w:val="en-US" w:eastAsia="zh-CN"/>
        </w:rPr>
        <w:t>在</w:t>
      </w:r>
      <w:r>
        <w:rPr>
          <w:rStyle w:val="19"/>
          <w:rFonts w:hint="eastAsia" w:ascii="仿宋_GB2312" w:hAnsi="宋体" w:eastAsia="仿宋_GB2312"/>
          <w:kern w:val="0"/>
          <w:sz w:val="32"/>
          <w:szCs w:val="32"/>
          <w:lang w:val="en-US" w:eastAsia="en-US"/>
        </w:rPr>
        <w:t>智慧挂号、智慧打车、智慧金融等公共信息服务上，要充分考虑实现老年人信息无障碍要求。</w:t>
      </w:r>
    </w:p>
    <w:p>
      <w:pPr>
        <w:spacing w:line="560" w:lineRule="exact"/>
        <w:ind w:left="0" w:leftChars="0" w:firstLine="640" w:firstLineChars="200"/>
        <w:rPr>
          <w:rStyle w:val="19"/>
          <w:rFonts w:hint="eastAsia" w:ascii="方正黑体_GBK" w:hAnsi="方正黑体_GBK" w:eastAsia="方正黑体_GBK" w:cs="方正黑体_GBK"/>
          <w:kern w:val="0"/>
          <w:sz w:val="32"/>
          <w:szCs w:val="32"/>
          <w:lang w:val="en-US" w:eastAsia="zh-CN"/>
        </w:rPr>
      </w:pPr>
      <w:r>
        <w:rPr>
          <w:rStyle w:val="19"/>
          <w:rFonts w:hint="eastAsia" w:ascii="方正黑体_GBK" w:hAnsi="方正黑体_GBK" w:eastAsia="方正黑体_GBK" w:cs="方正黑体_GBK"/>
          <w:kern w:val="0"/>
          <w:sz w:val="32"/>
          <w:szCs w:val="32"/>
          <w:lang w:val="en-US" w:eastAsia="en-US"/>
        </w:rPr>
        <w:t>三、组建志愿服</w:t>
      </w:r>
      <w:r>
        <w:rPr>
          <w:rStyle w:val="19"/>
          <w:rFonts w:hint="eastAsia" w:ascii="方正黑体_GBK" w:hAnsi="方正黑体_GBK" w:eastAsia="方正黑体_GBK" w:cs="方正黑体_GBK"/>
          <w:kern w:val="0"/>
          <w:sz w:val="32"/>
          <w:szCs w:val="32"/>
          <w:lang w:val="en-US" w:eastAsia="zh-CN"/>
        </w:rPr>
        <w:t>务</w:t>
      </w:r>
      <w:r>
        <w:rPr>
          <w:rStyle w:val="19"/>
          <w:rFonts w:hint="eastAsia" w:ascii="方正黑体_GBK" w:hAnsi="方正黑体_GBK" w:eastAsia="方正黑体_GBK" w:cs="方正黑体_GBK"/>
          <w:kern w:val="0"/>
          <w:sz w:val="32"/>
          <w:szCs w:val="32"/>
          <w:lang w:val="en-US" w:eastAsia="en-US"/>
        </w:rPr>
        <w:t>队伍</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en-US"/>
        </w:rPr>
        <w:t>一是由老龄委牵头，联合工信、民政部门组建一支“智慧助老”志愿服务队，经常性组织开展到老年人密集场所的“智慧助老”志愿服务活动：二是将“智慧助老”志愿服务项目列入党员志愿服务等活动，就近对农村、社区老年人开展“智慧助老“志愿服务活动。</w:t>
      </w:r>
    </w:p>
    <w:p>
      <w:pPr>
        <w:spacing w:line="560" w:lineRule="exact"/>
        <w:ind w:left="0" w:leftChars="0" w:firstLine="640" w:firstLineChars="200"/>
        <w:rPr>
          <w:rFonts w:hint="eastAsia" w:ascii="仿宋_GB2312" w:hAnsi="仿宋_GB2312" w:eastAsia="仿宋_GB2312" w:cs="仿宋_GB2312"/>
          <w:b w:val="0"/>
          <w:i w:val="0"/>
          <w:caps w:val="0"/>
          <w:color w:val="000000"/>
          <w:spacing w:val="0"/>
          <w:w w:val="100"/>
          <w:sz w:val="32"/>
          <w:szCs w:val="32"/>
          <w:lang w:val="en-US" w:eastAsia="zh-CN"/>
        </w:rPr>
      </w:pP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5"/>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09EF9F1F"/>
    <w:rsid w:val="0FFBAB29"/>
    <w:rsid w:val="10B40BCC"/>
    <w:rsid w:val="118823F2"/>
    <w:rsid w:val="18EC1E64"/>
    <w:rsid w:val="1AD70FA2"/>
    <w:rsid w:val="1BAB45FA"/>
    <w:rsid w:val="20E366FE"/>
    <w:rsid w:val="21EA0B57"/>
    <w:rsid w:val="29EB237C"/>
    <w:rsid w:val="2EEFEF58"/>
    <w:rsid w:val="2FD84B80"/>
    <w:rsid w:val="30B878C9"/>
    <w:rsid w:val="33552650"/>
    <w:rsid w:val="377737A4"/>
    <w:rsid w:val="38D60616"/>
    <w:rsid w:val="3A7B4D73"/>
    <w:rsid w:val="3BE7499D"/>
    <w:rsid w:val="3D7F297E"/>
    <w:rsid w:val="3F1A5C90"/>
    <w:rsid w:val="3FDFCC08"/>
    <w:rsid w:val="3FF6ED0D"/>
    <w:rsid w:val="3FFB72CC"/>
    <w:rsid w:val="42F10C9F"/>
    <w:rsid w:val="493508EE"/>
    <w:rsid w:val="497C7186"/>
    <w:rsid w:val="4A196944"/>
    <w:rsid w:val="4F1E6C2C"/>
    <w:rsid w:val="4F6B5D70"/>
    <w:rsid w:val="507F065A"/>
    <w:rsid w:val="5236789E"/>
    <w:rsid w:val="559F1A55"/>
    <w:rsid w:val="55DF3BAE"/>
    <w:rsid w:val="56AF45AE"/>
    <w:rsid w:val="576FEE59"/>
    <w:rsid w:val="5A7C34BF"/>
    <w:rsid w:val="5AA17385"/>
    <w:rsid w:val="5B7C24C8"/>
    <w:rsid w:val="5DEFF445"/>
    <w:rsid w:val="5DFEB2E5"/>
    <w:rsid w:val="5E7C7E34"/>
    <w:rsid w:val="61895CCF"/>
    <w:rsid w:val="66F35DD9"/>
    <w:rsid w:val="6854075C"/>
    <w:rsid w:val="69A37ABB"/>
    <w:rsid w:val="6FD47A0B"/>
    <w:rsid w:val="762A4BFD"/>
    <w:rsid w:val="7C1F064D"/>
    <w:rsid w:val="7DAF1E8B"/>
    <w:rsid w:val="7DBB9FDA"/>
    <w:rsid w:val="7EFF0D7D"/>
    <w:rsid w:val="7FE0122B"/>
    <w:rsid w:val="7FFF2EBA"/>
    <w:rsid w:val="AEBE54DD"/>
    <w:rsid w:val="B7F73D83"/>
    <w:rsid w:val="B7FF736E"/>
    <w:rsid w:val="BCFF9EFE"/>
    <w:rsid w:val="CCD9BA09"/>
    <w:rsid w:val="DCBB4D71"/>
    <w:rsid w:val="DCF72661"/>
    <w:rsid w:val="DEDBFE39"/>
    <w:rsid w:val="E7F72C30"/>
    <w:rsid w:val="EBB794E2"/>
    <w:rsid w:val="EF7E7B91"/>
    <w:rsid w:val="F6C7B41D"/>
    <w:rsid w:val="F7B75326"/>
    <w:rsid w:val="FD7FF71D"/>
    <w:rsid w:val="FEEF87BA"/>
    <w:rsid w:val="FF27039E"/>
    <w:rsid w:val="FF7114F5"/>
    <w:rsid w:val="FFEA0C81"/>
    <w:rsid w:val="FFF79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880" w:firstLineChars="200"/>
    </w:pPr>
    <w:rPr>
      <w:rFonts w:eastAsia="仿宋_GB231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99"/>
    <w:pPr>
      <w:spacing w:afterAutospacing="1"/>
      <w:ind w:left="101"/>
    </w:pPr>
    <w:rPr>
      <w:rFonts w:ascii="宋体" w:hAnsi="宋体"/>
      <w:sz w:val="29"/>
      <w:szCs w:val="29"/>
    </w:rPr>
  </w:style>
  <w:style w:type="paragraph" w:styleId="6">
    <w:name w:val="table of authorities"/>
    <w:basedOn w:val="1"/>
    <w:next w:val="1"/>
    <w:qFormat/>
    <w:uiPriority w:val="0"/>
    <w:pPr>
      <w:ind w:left="420" w:leftChars="200"/>
    </w:pPr>
    <w:rPr>
      <w:szCs w:val="20"/>
    </w:rPr>
  </w:style>
  <w:style w:type="paragraph" w:styleId="7">
    <w:name w:val="Block Text"/>
    <w:basedOn w:val="1"/>
    <w:unhideWhenUsed/>
    <w:qFormat/>
    <w:uiPriority w:val="99"/>
    <w:pPr>
      <w:spacing w:after="120"/>
      <w:ind w:left="1440" w:leftChars="700" w:right="1440" w:rightChars="7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31"/>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semiHidden/>
    <w:qFormat/>
    <w:uiPriority w:val="0"/>
  </w:style>
  <w:style w:type="paragraph" w:customStyle="1" w:styleId="20">
    <w:name w:val="Body Text First Indent 21"/>
    <w:basedOn w:val="21"/>
    <w:qFormat/>
    <w:uiPriority w:val="99"/>
    <w:pPr>
      <w:ind w:firstLine="420" w:firstLineChars="200"/>
    </w:pPr>
  </w:style>
  <w:style w:type="paragraph" w:customStyle="1" w:styleId="21">
    <w:name w:val="Body Text Indent1"/>
    <w:basedOn w:val="1"/>
    <w:qFormat/>
    <w:uiPriority w:val="99"/>
    <w:pPr>
      <w:ind w:left="420" w:leftChars="200"/>
    </w:pPr>
  </w:style>
  <w:style w:type="paragraph" w:customStyle="1" w:styleId="22">
    <w:name w:val="Heading1"/>
    <w:basedOn w:val="1"/>
    <w:link w:val="28"/>
    <w:qFormat/>
    <w:uiPriority w:val="0"/>
    <w:pPr>
      <w:spacing w:before="100" w:beforeAutospacing="1" w:after="100" w:afterAutospacing="1"/>
      <w:jc w:val="left"/>
    </w:pPr>
    <w:rPr>
      <w:rFonts w:ascii="宋体" w:hAnsi="宋体" w:cs="宋体"/>
      <w:b/>
      <w:bCs/>
      <w:kern w:val="36"/>
      <w:sz w:val="48"/>
      <w:szCs w:val="48"/>
    </w:rPr>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Acetate"/>
    <w:basedOn w:val="1"/>
    <w:qFormat/>
    <w:uiPriority w:val="0"/>
    <w:rPr>
      <w:sz w:val="18"/>
      <w:szCs w:val="18"/>
    </w:rPr>
  </w:style>
  <w:style w:type="paragraph" w:customStyle="1" w:styleId="25">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6">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7">
    <w:name w:val="UserStyle_2"/>
    <w:basedOn w:val="1"/>
    <w:qFormat/>
    <w:uiPriority w:val="0"/>
    <w:pPr>
      <w:spacing w:before="100" w:beforeAutospacing="1" w:after="100" w:afterAutospacing="1"/>
      <w:jc w:val="left"/>
    </w:pPr>
    <w:rPr>
      <w:rFonts w:ascii="宋体" w:hAnsi="宋体"/>
      <w:kern w:val="0"/>
      <w:sz w:val="24"/>
    </w:rPr>
  </w:style>
  <w:style w:type="character" w:customStyle="1" w:styleId="28">
    <w:name w:val="UserStyle_3"/>
    <w:basedOn w:val="19"/>
    <w:link w:val="22"/>
    <w:qFormat/>
    <w:uiPriority w:val="0"/>
    <w:rPr>
      <w:rFonts w:ascii="宋体" w:hAnsi="宋体" w:cs="宋体"/>
      <w:b/>
      <w:bCs/>
      <w:kern w:val="36"/>
      <w:sz w:val="48"/>
      <w:szCs w:val="48"/>
    </w:rPr>
  </w:style>
  <w:style w:type="character" w:customStyle="1" w:styleId="29">
    <w:name w:val="UserStyle_4"/>
    <w:basedOn w:val="19"/>
    <w:qFormat/>
    <w:uiPriority w:val="0"/>
  </w:style>
  <w:style w:type="paragraph" w:customStyle="1" w:styleId="30">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1">
    <w:name w:val="页脚 Char"/>
    <w:basedOn w:val="16"/>
    <w:link w:val="10"/>
    <w:qFormat/>
    <w:uiPriority w:val="99"/>
    <w:rPr>
      <w:rFonts w:cstheme="minorBidi"/>
      <w:kern w:val="2"/>
      <w:sz w:val="18"/>
      <w:szCs w:val="18"/>
    </w:rPr>
  </w:style>
  <w:style w:type="paragraph" w:customStyle="1" w:styleId="32">
    <w:name w:val="正文-公1"/>
    <w:basedOn w:val="1"/>
    <w:qFormat/>
    <w:uiPriority w:val="99"/>
    <w:pPr>
      <w:ind w:firstLine="200" w:firstLineChars="200"/>
    </w:pPr>
    <w:rPr>
      <w:rFonts w:ascii="Calibri" w:hAnsi="Calibri"/>
    </w:rPr>
  </w:style>
  <w:style w:type="paragraph" w:customStyle="1" w:styleId="33">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4">
    <w:name w:val="正文文本首行缩进 2"/>
    <w:basedOn w:val="3"/>
    <w:qFormat/>
    <w:uiPriority w:val="0"/>
    <w:pPr>
      <w:ind w:firstLine="420" w:firstLineChars="200"/>
    </w:pPr>
    <w:rPr>
      <w:rFonts w:ascii="Calibri" w:hAnsi="Calibri" w:eastAsia="宋体" w:cs="宋体"/>
    </w:rPr>
  </w:style>
  <w:style w:type="paragraph" w:customStyle="1" w:styleId="35">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5</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2021-01-15T04:51:00Z</dcterms:created>
  <dc:creator>Administrator</dc:creator>
  <cp:lastModifiedBy>丘丘</cp:lastModifiedBy>
  <cp:lastPrinted>2022-01-08T11:28:00Z</cp:lastPrinted>
  <dcterms:modified xsi:type="dcterms:W3CDTF">2022-01-08T09:48:27Z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