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spacing w:before="0" w:beforeAutospacing="0" w:after="0" w:afterAutospacing="0" w:line="600" w:lineRule="exact"/>
        <w:jc w:val="center"/>
        <w:rPr>
          <w:rStyle w:val="11"/>
          <w:rFonts w:ascii="黑体" w:eastAsia="黑体"/>
          <w:sz w:val="44"/>
          <w:szCs w:val="44"/>
        </w:rPr>
      </w:pPr>
      <w:r>
        <w:rPr>
          <w:rStyle w:val="9"/>
          <w:rFonts w:ascii="黑体" w:eastAsia="黑体" w:cs="宋体"/>
          <w:sz w:val="44"/>
          <w:szCs w:val="44"/>
        </w:rPr>
        <w:t>中国人民政治协商会议</w:t>
      </w:r>
    </w:p>
    <w:p>
      <w:pPr>
        <w:pStyle w:val="16"/>
        <w:spacing w:before="0" w:beforeAutospacing="0" w:after="0" w:afterAutospacing="0" w:line="600" w:lineRule="exact"/>
        <w:jc w:val="center"/>
        <w:rPr>
          <w:rStyle w:val="11"/>
          <w:rFonts w:hint="eastAsia"/>
          <w:sz w:val="44"/>
          <w:szCs w:val="44"/>
        </w:rPr>
      </w:pPr>
      <w:r>
        <w:rPr>
          <w:rStyle w:val="11"/>
          <w:sz w:val="44"/>
          <w:szCs w:val="44"/>
        </w:rPr>
        <w:t>黔东南苗族侗族自治州委员会</w:t>
      </w:r>
    </w:p>
    <w:p>
      <w:pPr>
        <w:pStyle w:val="16"/>
        <w:spacing w:before="0" w:beforeAutospacing="0" w:after="0" w:afterAutospacing="0" w:line="600" w:lineRule="exact"/>
        <w:jc w:val="center"/>
        <w:rPr>
          <w:rStyle w:val="11"/>
          <w:rFonts w:hint="eastAsia"/>
          <w:sz w:val="44"/>
          <w:szCs w:val="44"/>
        </w:rPr>
      </w:pPr>
      <w:r>
        <w:rPr>
          <w:rStyle w:val="11"/>
          <w:sz w:val="44"/>
          <w:szCs w:val="44"/>
        </w:rPr>
        <w:t>提</w:t>
      </w:r>
      <w:r>
        <w:rPr>
          <w:rStyle w:val="11"/>
          <w:rFonts w:hint="eastAsia"/>
          <w:sz w:val="44"/>
          <w:szCs w:val="44"/>
        </w:rPr>
        <w:t xml:space="preserve">   </w:t>
      </w:r>
      <w:r>
        <w:rPr>
          <w:rStyle w:val="11"/>
          <w:sz w:val="44"/>
          <w:szCs w:val="44"/>
        </w:rPr>
        <w:t>案</w:t>
      </w:r>
    </w:p>
    <w:p>
      <w:pPr>
        <w:spacing w:line="320" w:lineRule="exact"/>
        <w:jc w:val="center"/>
        <w:textAlignment w:val="top"/>
        <w:rPr>
          <w:rStyle w:val="11"/>
          <w:rFonts w:hint="eastAsia" w:ascii="宋体" w:hAnsi="宋体"/>
          <w:kern w:val="0"/>
          <w:sz w:val="24"/>
        </w:rPr>
      </w:pPr>
    </w:p>
    <w:p>
      <w:pPr>
        <w:spacing w:line="320" w:lineRule="exact"/>
        <w:jc w:val="center"/>
        <w:textAlignment w:val="top"/>
        <w:rPr>
          <w:rStyle w:val="11"/>
          <w:rFonts w:hint="eastAsia" w:ascii="宋体" w:hAnsi="宋体"/>
          <w:kern w:val="0"/>
          <w:sz w:val="24"/>
        </w:rPr>
      </w:pPr>
    </w:p>
    <w:p>
      <w:pPr>
        <w:spacing w:line="760" w:lineRule="exact"/>
        <w:jc w:val="both"/>
        <w:textAlignment w:val="top"/>
        <w:rPr>
          <w:rStyle w:val="11"/>
          <w:rFonts w:ascii="宋体" w:hAnsi="宋体"/>
          <w:kern w:val="0"/>
          <w:sz w:val="24"/>
        </w:rPr>
      </w:pPr>
      <w:r>
        <w:rPr>
          <w:rStyle w:val="11"/>
          <w:rFonts w:ascii="宋体" w:hAnsi="宋体"/>
          <w:kern w:val="0"/>
          <w:sz w:val="24"/>
        </w:rPr>
        <mc:AlternateContent>
          <mc:Choice Requires="wps">
            <w:drawing>
              <wp:inline distT="0" distB="0" distL="114300" distR="114300">
                <wp:extent cx="5212080" cy="35560"/>
                <wp:effectExtent l="0" t="0" r="7620" b="2540"/>
                <wp:docPr id="1" name="矩形 1"/>
                <wp:cNvGraphicFramePr/>
                <a:graphic xmlns:a="http://schemas.openxmlformats.org/drawingml/2006/main">
                  <a:graphicData uri="http://schemas.microsoft.com/office/word/2010/wordprocessingShape">
                    <wps:wsp>
                      <wps:cNvSpPr/>
                      <wps:spPr>
                        <a:xfrm>
                          <a:off x="0" y="0"/>
                          <a:ext cx="5212080" cy="3556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2.8pt;width:410.4pt;" fillcolor="#ACA899" filled="t" stroked="f" coordsize="21600,21600"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C+6oZlvwEAAHcDAAAOAAAAAAAAAAEAIAAAACIBAABkcnMvZTJvRG9jLnhtbFBL&#10;BQYAAAAABgAGAFkBAABTBQAAAAA=&#10;">
                <v:fill on="t" focussize="0,0"/>
                <v:stroke on="f"/>
                <v:imagedata o:title=""/>
                <o:lock v:ext="edit" aspectratio="f"/>
                <v:textbox>
                  <w:txbxContent>
                    <w:p/>
                  </w:txbxContent>
                </v:textbox>
                <w10:wrap type="none"/>
                <w10:anchorlock/>
              </v:rect>
            </w:pict>
          </mc:Fallback>
        </mc:AlternateContent>
      </w:r>
    </w:p>
    <w:p>
      <w:pPr>
        <w:spacing w:line="320" w:lineRule="exact"/>
        <w:rPr>
          <w:rStyle w:val="11"/>
          <w:rFonts w:hint="default" w:ascii="宋体" w:hAnsi="宋体" w:eastAsia="宋体"/>
          <w:kern w:val="0"/>
          <w:sz w:val="24"/>
          <w:lang w:val="en-US" w:eastAsia="zh-CN"/>
        </w:rPr>
      </w:pPr>
      <w:r>
        <w:rPr>
          <w:rStyle w:val="11"/>
          <w:rFonts w:ascii="宋体" w:hAnsi="宋体"/>
          <w:kern w:val="0"/>
          <w:sz w:val="24"/>
        </w:rPr>
        <w:t>第十</w:t>
      </w:r>
      <w:r>
        <w:rPr>
          <w:rStyle w:val="11"/>
          <w:rFonts w:hint="eastAsia" w:ascii="宋体" w:hAnsi="宋体"/>
          <w:kern w:val="0"/>
          <w:sz w:val="24"/>
          <w:lang w:val="en-US" w:eastAsia="zh-CN"/>
        </w:rPr>
        <w:t>三</w:t>
      </w:r>
      <w:r>
        <w:rPr>
          <w:rStyle w:val="11"/>
          <w:rFonts w:ascii="宋体" w:hAnsi="宋体"/>
          <w:kern w:val="0"/>
          <w:sz w:val="24"/>
        </w:rPr>
        <w:t>届第</w:t>
      </w:r>
      <w:r>
        <w:rPr>
          <w:rStyle w:val="11"/>
          <w:rFonts w:hint="eastAsia" w:ascii="宋体" w:hAnsi="宋体"/>
          <w:kern w:val="0"/>
          <w:sz w:val="24"/>
          <w:lang w:val="en-US" w:eastAsia="zh-CN"/>
        </w:rPr>
        <w:t>一</w:t>
      </w:r>
      <w:r>
        <w:rPr>
          <w:rStyle w:val="11"/>
          <w:rFonts w:ascii="宋体" w:hAnsi="宋体"/>
          <w:kern w:val="0"/>
          <w:sz w:val="24"/>
        </w:rPr>
        <w:t>次会议　       　第</w:t>
      </w:r>
      <w:r>
        <w:rPr>
          <w:rStyle w:val="11"/>
          <w:rFonts w:hint="eastAsia" w:ascii="宋体" w:hAnsi="宋体"/>
          <w:kern w:val="0"/>
          <w:sz w:val="24"/>
          <w:lang w:val="en-US" w:eastAsia="zh-CN"/>
        </w:rPr>
        <w:t>001</w:t>
      </w:r>
      <w:r>
        <w:rPr>
          <w:rStyle w:val="11"/>
          <w:rFonts w:ascii="宋体" w:hAnsi="宋体"/>
          <w:kern w:val="0"/>
          <w:sz w:val="24"/>
        </w:rPr>
        <w:t xml:space="preserve">号　    </w:t>
      </w:r>
      <w:r>
        <w:rPr>
          <w:rStyle w:val="11"/>
          <w:rFonts w:hint="eastAsia" w:ascii="宋体" w:hAnsi="宋体"/>
          <w:kern w:val="0"/>
          <w:sz w:val="24"/>
        </w:rPr>
        <w:t xml:space="preserve">    </w:t>
      </w:r>
      <w:r>
        <w:rPr>
          <w:rStyle w:val="11"/>
          <w:rFonts w:hint="eastAsia" w:ascii="宋体" w:hAnsi="宋体"/>
          <w:kern w:val="0"/>
          <w:sz w:val="24"/>
          <w:lang w:val="en-US" w:eastAsia="zh-CN"/>
        </w:rPr>
        <w:t xml:space="preserve"> 类别：经济建设类     </w:t>
      </w:r>
    </w:p>
    <w:p>
      <w:pPr>
        <w:spacing w:line="320" w:lineRule="exact"/>
        <w:jc w:val="left"/>
        <w:rPr>
          <w:rStyle w:val="11"/>
          <w:rFonts w:ascii="宋体" w:hAnsi="宋体"/>
          <w:kern w:val="0"/>
          <w:sz w:val="24"/>
        </w:rPr>
      </w:pPr>
      <w:r>
        <w:rPr>
          <w:rStyle w:val="11"/>
          <w:rFonts w:ascii="宋体" w:hAnsi="宋体"/>
          <w:kern w:val="0"/>
          <w:sz w:val="24"/>
        </w:rPr>
        <mc:AlternateContent>
          <mc:Choice Requires="wps">
            <w:drawing>
              <wp:inline distT="0" distB="0" distL="114300" distR="114300">
                <wp:extent cx="5274945" cy="38100"/>
                <wp:effectExtent l="0" t="0" r="1905" b="0"/>
                <wp:docPr id="2" name="矩形 2"/>
                <wp:cNvGraphicFramePr/>
                <a:graphic xmlns:a="http://schemas.openxmlformats.org/drawingml/2006/main">
                  <a:graphicData uri="http://schemas.microsoft.com/office/word/2010/wordprocessingShape">
                    <wps:wsp>
                      <wps:cNvSpPr/>
                      <wps:spPr>
                        <a:xfrm>
                          <a:off x="0" y="0"/>
                          <a:ext cx="5274945" cy="3810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3pt;width:415.35pt;" fillcolor="#ACA899" filled="t" stroked="f" coordsize="21600,21600" o:gfxdata="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zMVtO0wAAAAMBAAAPAAAAAAAAAAEAIAAAACIAAABkcnMvZG93bnJldi54bWxQSwEC&#10;FAAUAAAACACHTuJApo3SZ8ABAAB3AwAADgAAAAAAAAABACAAAAAiAQAAZHJzL2Uyb0RvYy54bWxQ&#10;SwUGAAAAAAYABgBZAQAAVAUAAAAA&#10;">
                <v:fill on="t" focussize="0,0"/>
                <v:stroke on="f"/>
                <v:imagedata o:title=""/>
                <o:lock v:ext="edit" aspectratio="f"/>
                <v:textbox>
                  <w:txbxContent>
                    <w:p/>
                  </w:txbxContent>
                </v:textbox>
                <w10:wrap type="none"/>
                <w10:anchorlock/>
              </v:rect>
            </w:pict>
          </mc:Fallback>
        </mc:AlternateContent>
      </w:r>
    </w:p>
    <w:tbl>
      <w:tblPr>
        <w:tblStyle w:val="7"/>
        <w:tblW w:w="8550" w:type="dxa"/>
        <w:tblInd w:w="0" w:type="dxa"/>
        <w:tblLayout w:type="fixed"/>
        <w:tblCellMar>
          <w:top w:w="0" w:type="dxa"/>
          <w:left w:w="15" w:type="dxa"/>
          <w:bottom w:w="0" w:type="dxa"/>
          <w:right w:w="15" w:type="dxa"/>
        </w:tblCellMar>
      </w:tblPr>
      <w:tblGrid>
        <w:gridCol w:w="1753"/>
        <w:gridCol w:w="3872"/>
        <w:gridCol w:w="1440"/>
        <w:gridCol w:w="1485"/>
      </w:tblGrid>
      <w:tr>
        <w:tblPrEx>
          <w:tblCellMar>
            <w:top w:w="0" w:type="dxa"/>
            <w:left w:w="15" w:type="dxa"/>
            <w:bottom w:w="0" w:type="dxa"/>
            <w:right w:w="15" w:type="dxa"/>
          </w:tblCellMar>
        </w:tblPrEx>
        <w:tc>
          <w:tcPr>
            <w:tcW w:w="1753" w:type="dxa"/>
            <w:vAlign w:val="center"/>
          </w:tcPr>
          <w:p>
            <w:pPr>
              <w:jc w:val="left"/>
              <w:rPr>
                <w:rStyle w:val="11"/>
                <w:rFonts w:ascii="宋体" w:hAnsi="宋体"/>
                <w:kern w:val="0"/>
                <w:sz w:val="24"/>
              </w:rPr>
            </w:pPr>
            <w:r>
              <w:rPr>
                <w:rStyle w:val="11"/>
                <w:rFonts w:ascii="黑体" w:hAnsi="宋体" w:eastAsia="黑体" w:cs="宋体"/>
                <w:b/>
                <w:bCs/>
                <w:kern w:val="0"/>
                <w:sz w:val="24"/>
              </w:rPr>
              <w:t>案</w:t>
            </w:r>
            <w:r>
              <w:rPr>
                <w:rStyle w:val="11"/>
                <w:rFonts w:ascii="宋体" w:hAnsi="宋体" w:eastAsia="黑体" w:cs="宋体"/>
                <w:b/>
                <w:bCs/>
                <w:kern w:val="0"/>
                <w:sz w:val="24"/>
              </w:rPr>
              <w:t>  </w:t>
            </w:r>
            <w:r>
              <w:rPr>
                <w:rStyle w:val="11"/>
                <w:rFonts w:ascii="黑体" w:hAnsi="宋体" w:eastAsia="黑体" w:cs="宋体"/>
                <w:b/>
                <w:bCs/>
                <w:kern w:val="0"/>
                <w:sz w:val="24"/>
              </w:rPr>
              <w:t>由</w:t>
            </w:r>
            <w:r>
              <w:rPr>
                <w:rStyle w:val="11"/>
                <w:rFonts w:ascii="宋体" w:hAnsi="宋体" w:cs="宋体"/>
                <w:b/>
                <w:bCs/>
                <w:kern w:val="0"/>
                <w:sz w:val="24"/>
              </w:rPr>
              <w:t>：</w:t>
            </w:r>
          </w:p>
        </w:tc>
        <w:tc>
          <w:tcPr>
            <w:tcW w:w="6797" w:type="dxa"/>
            <w:gridSpan w:val="3"/>
            <w:vAlign w:val="center"/>
          </w:tcPr>
          <w:p>
            <w:pPr>
              <w:jc w:val="left"/>
              <w:rPr>
                <w:rStyle w:val="11"/>
                <w:rFonts w:ascii="宋体" w:hAnsi="宋体" w:cs="宋体"/>
                <w:b/>
                <w:bCs/>
                <w:kern w:val="0"/>
                <w:sz w:val="24"/>
              </w:rPr>
            </w:pPr>
            <w:r>
              <w:rPr>
                <w:rFonts w:hint="eastAsia"/>
                <w:b/>
                <w:bCs/>
              </w:rPr>
              <w:t>关于提高农产品加工转化率助推农业高质量发展的建议</w:t>
            </w:r>
          </w:p>
        </w:tc>
      </w:tr>
      <w:tr>
        <w:tblPrEx>
          <w:tblCellMar>
            <w:top w:w="0" w:type="dxa"/>
            <w:left w:w="15" w:type="dxa"/>
            <w:bottom w:w="0" w:type="dxa"/>
            <w:right w:w="15" w:type="dxa"/>
          </w:tblCellMar>
        </w:tblPrEx>
        <w:tc>
          <w:tcPr>
            <w:tcW w:w="1753" w:type="dxa"/>
            <w:vAlign w:val="center"/>
          </w:tcPr>
          <w:p>
            <w:pPr>
              <w:jc w:val="left"/>
              <w:rPr>
                <w:rStyle w:val="11"/>
                <w:rFonts w:ascii="宋体" w:hAnsi="宋体"/>
                <w:kern w:val="0"/>
                <w:sz w:val="24"/>
              </w:rPr>
            </w:pPr>
            <w:r>
              <w:rPr>
                <w:rStyle w:val="11"/>
                <w:rFonts w:ascii="黑体" w:hAnsi="宋体" w:eastAsia="黑体" w:cs="宋体"/>
                <w:b/>
                <w:bCs/>
                <w:kern w:val="0"/>
                <w:sz w:val="24"/>
              </w:rPr>
              <w:t>审查意见</w:t>
            </w:r>
            <w:r>
              <w:rPr>
                <w:rStyle w:val="11"/>
                <w:rFonts w:ascii="宋体" w:hAnsi="宋体" w:cs="宋体"/>
                <w:b/>
                <w:bCs/>
                <w:kern w:val="0"/>
                <w:sz w:val="24"/>
              </w:rPr>
              <w:t>：</w:t>
            </w:r>
          </w:p>
        </w:tc>
        <w:tc>
          <w:tcPr>
            <w:tcW w:w="6797" w:type="dxa"/>
            <w:gridSpan w:val="3"/>
            <w:vAlign w:val="center"/>
          </w:tcPr>
          <w:p>
            <w:pPr>
              <w:jc w:val="left"/>
              <w:rPr>
                <w:rStyle w:val="11"/>
                <w:rFonts w:hint="default" w:ascii="宋体" w:hAnsi="宋体"/>
                <w:kern w:val="0"/>
                <w:sz w:val="24"/>
                <w:lang w:val="en-US" w:eastAsia="zh-CN"/>
              </w:rPr>
            </w:pPr>
            <w:r>
              <w:rPr>
                <w:rStyle w:val="11"/>
                <w:rFonts w:hint="eastAsia" w:ascii="宋体" w:hAnsi="宋体"/>
                <w:kern w:val="0"/>
                <w:sz w:val="24"/>
                <w:lang w:eastAsia="zh-CN"/>
              </w:rPr>
              <w:t>主办：州农业农村局</w:t>
            </w:r>
            <w:r>
              <w:rPr>
                <w:rStyle w:val="11"/>
                <w:rFonts w:hint="eastAsia" w:ascii="宋体" w:hAnsi="宋体"/>
                <w:kern w:val="0"/>
                <w:sz w:val="24"/>
                <w:lang w:val="en-US" w:eastAsia="zh-CN"/>
              </w:rPr>
              <w:t xml:space="preserve">   会办：州市场监督管理局、州财政局、州工信局、州商务局</w:t>
            </w:r>
          </w:p>
        </w:tc>
      </w:tr>
      <w:tr>
        <w:tblPrEx>
          <w:tblCellMar>
            <w:top w:w="0" w:type="dxa"/>
            <w:left w:w="15" w:type="dxa"/>
            <w:bottom w:w="0" w:type="dxa"/>
            <w:right w:w="15" w:type="dxa"/>
          </w:tblCellMar>
        </w:tblPrEx>
        <w:tc>
          <w:tcPr>
            <w:tcW w:w="1753" w:type="dxa"/>
            <w:vAlign w:val="center"/>
          </w:tcPr>
          <w:p>
            <w:pPr>
              <w:jc w:val="left"/>
              <w:rPr>
                <w:rStyle w:val="11"/>
                <w:rFonts w:ascii="黑体" w:hAnsi="宋体" w:eastAsia="黑体"/>
                <w:kern w:val="0"/>
                <w:sz w:val="24"/>
              </w:rPr>
            </w:pPr>
            <w:r>
              <w:rPr>
                <w:rStyle w:val="11"/>
                <w:rFonts w:ascii="黑体" w:hAnsi="宋体" w:eastAsia="黑体" w:cs="宋体"/>
                <w:b/>
                <w:bCs/>
                <w:kern w:val="0"/>
                <w:sz w:val="24"/>
              </w:rPr>
              <w:t>提</w:t>
            </w:r>
            <w:r>
              <w:rPr>
                <w:rStyle w:val="11"/>
                <w:rFonts w:hint="eastAsia" w:ascii="黑体" w:hAnsi="宋体" w:eastAsia="黑体" w:cs="宋体"/>
                <w:b/>
                <w:bCs/>
                <w:kern w:val="0"/>
                <w:sz w:val="24"/>
                <w:lang w:val="en-US" w:eastAsia="zh-CN"/>
              </w:rPr>
              <w:t xml:space="preserve"> </w:t>
            </w:r>
            <w:r>
              <w:rPr>
                <w:rStyle w:val="11"/>
                <w:rFonts w:ascii="黑体" w:hAnsi="宋体" w:eastAsia="黑体" w:cs="宋体"/>
                <w:b/>
                <w:bCs/>
                <w:kern w:val="0"/>
                <w:sz w:val="24"/>
              </w:rPr>
              <w:t>案</w:t>
            </w:r>
            <w:r>
              <w:rPr>
                <w:rStyle w:val="11"/>
                <w:rFonts w:hint="eastAsia" w:ascii="黑体" w:hAnsi="宋体" w:eastAsia="黑体" w:cs="宋体"/>
                <w:b/>
                <w:bCs/>
                <w:kern w:val="0"/>
                <w:sz w:val="24"/>
                <w:lang w:val="en-US" w:eastAsia="zh-CN"/>
              </w:rPr>
              <w:t xml:space="preserve"> </w:t>
            </w:r>
            <w:r>
              <w:rPr>
                <w:rStyle w:val="11"/>
                <w:rFonts w:ascii="黑体" w:hAnsi="宋体" w:eastAsia="黑体" w:cs="宋体"/>
                <w:b/>
                <w:bCs/>
                <w:kern w:val="0"/>
                <w:sz w:val="24"/>
              </w:rPr>
              <w:t>人</w:t>
            </w:r>
            <w:r>
              <w:rPr>
                <w:rStyle w:val="11"/>
                <w:rFonts w:ascii="宋体" w:hAnsi="宋体" w:eastAsia="黑体" w:cs="宋体"/>
                <w:b/>
                <w:bCs/>
                <w:kern w:val="0"/>
                <w:sz w:val="24"/>
              </w:rPr>
              <w:t>：</w:t>
            </w:r>
          </w:p>
        </w:tc>
        <w:tc>
          <w:tcPr>
            <w:tcW w:w="3872" w:type="dxa"/>
            <w:vAlign w:val="center"/>
          </w:tcPr>
          <w:p>
            <w:pPr>
              <w:jc w:val="left"/>
              <w:rPr>
                <w:rStyle w:val="11"/>
                <w:rFonts w:ascii="宋体" w:hAnsi="宋体"/>
                <w:kern w:val="0"/>
                <w:sz w:val="24"/>
              </w:rPr>
            </w:pPr>
            <w:r>
              <w:rPr>
                <w:rStyle w:val="11"/>
                <w:rFonts w:ascii="宋体" w:hAnsi="宋体" w:cs="宋体"/>
                <w:b/>
                <w:bCs/>
                <w:kern w:val="0"/>
                <w:sz w:val="24"/>
              </w:rPr>
              <w:t>通讯地址</w:t>
            </w:r>
          </w:p>
        </w:tc>
        <w:tc>
          <w:tcPr>
            <w:tcW w:w="1440" w:type="dxa"/>
            <w:vAlign w:val="center"/>
          </w:tcPr>
          <w:p>
            <w:pPr>
              <w:jc w:val="left"/>
              <w:rPr>
                <w:rStyle w:val="11"/>
                <w:rFonts w:ascii="宋体" w:hAnsi="宋体"/>
                <w:kern w:val="0"/>
                <w:sz w:val="24"/>
              </w:rPr>
            </w:pPr>
            <w:r>
              <w:rPr>
                <w:rStyle w:val="11"/>
                <w:rFonts w:ascii="宋体" w:hAnsi="宋体" w:cs="宋体"/>
                <w:b/>
                <w:bCs/>
                <w:kern w:val="0"/>
                <w:sz w:val="24"/>
              </w:rPr>
              <w:t>邮政编码</w:t>
            </w:r>
          </w:p>
        </w:tc>
        <w:tc>
          <w:tcPr>
            <w:tcW w:w="1485" w:type="dxa"/>
            <w:vAlign w:val="center"/>
          </w:tcPr>
          <w:p>
            <w:pPr>
              <w:jc w:val="left"/>
              <w:rPr>
                <w:rStyle w:val="11"/>
                <w:rFonts w:ascii="宋体" w:hAnsi="宋体"/>
                <w:kern w:val="0"/>
                <w:sz w:val="24"/>
              </w:rPr>
            </w:pPr>
            <w:r>
              <w:rPr>
                <w:rStyle w:val="11"/>
                <w:rFonts w:ascii="宋体" w:hAnsi="宋体" w:cs="宋体"/>
                <w:b/>
                <w:bCs/>
                <w:kern w:val="0"/>
                <w:sz w:val="24"/>
              </w:rPr>
              <w:t>联系电话</w:t>
            </w:r>
          </w:p>
        </w:tc>
      </w:tr>
      <w:tr>
        <w:tc>
          <w:tcPr>
            <w:tcW w:w="1753" w:type="dxa"/>
            <w:vAlign w:val="center"/>
          </w:tcPr>
          <w:p>
            <w:pPr>
              <w:pStyle w:val="2"/>
              <w:ind w:left="0" w:leftChars="0" w:firstLine="0" w:firstLineChars="0"/>
            </w:pPr>
            <w:r>
              <w:rPr>
                <w:rFonts w:hint="default" w:ascii="Times New Roman" w:hAnsi="Times New Roman" w:cs="Times New Roman"/>
                <w:kern w:val="0"/>
                <w:sz w:val="24"/>
              </w:rPr>
              <w:t>民建黔东南州委</w:t>
            </w:r>
          </w:p>
        </w:tc>
        <w:tc>
          <w:tcPr>
            <w:tcW w:w="3872" w:type="dxa"/>
            <w:vAlign w:val="center"/>
          </w:tcPr>
          <w:p>
            <w:pPr>
              <w:jc w:val="left"/>
              <w:rPr>
                <w:rStyle w:val="11"/>
                <w:rFonts w:hint="eastAsia" w:ascii="宋体" w:hAnsi="宋体" w:eastAsia="宋体"/>
                <w:kern w:val="0"/>
                <w:sz w:val="24"/>
                <w:lang w:val="en-US" w:eastAsia="zh-CN"/>
              </w:rPr>
            </w:pPr>
            <w:r>
              <w:rPr>
                <w:rFonts w:hint="eastAsia"/>
              </w:rPr>
              <w:t>凯里市文化北路15号</w:t>
            </w:r>
          </w:p>
        </w:tc>
        <w:tc>
          <w:tcPr>
            <w:tcW w:w="1440" w:type="dxa"/>
            <w:vAlign w:val="center"/>
          </w:tcPr>
          <w:p>
            <w:pPr>
              <w:jc w:val="left"/>
              <w:rPr>
                <w:rStyle w:val="11"/>
                <w:rFonts w:hint="default" w:ascii="宋体" w:hAnsi="宋体" w:eastAsia="宋体"/>
                <w:kern w:val="0"/>
                <w:sz w:val="24"/>
                <w:lang w:val="en-US" w:eastAsia="zh-CN"/>
              </w:rPr>
            </w:pPr>
            <w:r>
              <w:rPr>
                <w:rStyle w:val="11"/>
                <w:rFonts w:hint="eastAsia" w:ascii="宋体" w:hAnsi="宋体"/>
                <w:kern w:val="0"/>
                <w:sz w:val="24"/>
                <w:lang w:val="en-US" w:eastAsia="zh-CN"/>
              </w:rPr>
              <w:t>556000</w:t>
            </w:r>
          </w:p>
        </w:tc>
        <w:tc>
          <w:tcPr>
            <w:tcW w:w="1485" w:type="dxa"/>
            <w:vAlign w:val="center"/>
          </w:tcPr>
          <w:p>
            <w:pPr>
              <w:jc w:val="left"/>
              <w:rPr>
                <w:rStyle w:val="11"/>
                <w:rFonts w:hint="default" w:ascii="宋体" w:hAnsi="宋体" w:eastAsia="宋体"/>
                <w:kern w:val="0"/>
                <w:sz w:val="24"/>
                <w:lang w:val="en-US" w:eastAsia="zh-CN"/>
              </w:rPr>
            </w:pPr>
            <w:r>
              <w:rPr>
                <w:rStyle w:val="11"/>
                <w:rFonts w:hint="default" w:ascii="宋体" w:hAnsi="宋体" w:eastAsia="宋体"/>
                <w:kern w:val="0"/>
                <w:sz w:val="24"/>
                <w:lang w:val="en-US" w:eastAsia="zh-CN"/>
              </w:rPr>
              <w:t>2107329</w:t>
            </w:r>
          </w:p>
        </w:tc>
      </w:tr>
      <w:tr>
        <w:tblPrEx>
          <w:tblCellMar>
            <w:top w:w="0" w:type="dxa"/>
            <w:left w:w="15" w:type="dxa"/>
            <w:bottom w:w="0" w:type="dxa"/>
            <w:right w:w="15" w:type="dxa"/>
          </w:tblCellMar>
        </w:tblPrEx>
        <w:tc>
          <w:tcPr>
            <w:tcW w:w="1753" w:type="dxa"/>
            <w:vAlign w:val="center"/>
          </w:tcPr>
          <w:p>
            <w:pPr>
              <w:jc w:val="left"/>
              <w:rPr>
                <w:rStyle w:val="11"/>
                <w:rFonts w:hint="eastAsia" w:ascii="宋体" w:hAnsi="宋体" w:eastAsia="宋体"/>
                <w:kern w:val="0"/>
                <w:sz w:val="24"/>
                <w:lang w:eastAsia="zh-CN"/>
              </w:rPr>
            </w:pPr>
            <w:r>
              <w:rPr>
                <w:rStyle w:val="11"/>
                <w:rFonts w:hint="eastAsia" w:ascii="黑体" w:hAnsi="宋体" w:eastAsia="黑体" w:cs="宋体"/>
                <w:b/>
                <w:bCs/>
                <w:kern w:val="0"/>
                <w:sz w:val="24"/>
                <w:szCs w:val="22"/>
                <w:lang w:eastAsia="zh-CN"/>
              </w:rPr>
              <w:t>工作联系电话：</w:t>
            </w:r>
          </w:p>
        </w:tc>
        <w:tc>
          <w:tcPr>
            <w:tcW w:w="6797" w:type="dxa"/>
            <w:gridSpan w:val="3"/>
            <w:vAlign w:val="center"/>
          </w:tcPr>
          <w:p>
            <w:pPr>
              <w:jc w:val="left"/>
              <w:rPr>
                <w:rStyle w:val="11"/>
                <w:rFonts w:hint="eastAsia" w:ascii="宋体" w:hAnsi="宋体"/>
                <w:kern w:val="0"/>
                <w:sz w:val="24"/>
                <w:lang w:val="en-US" w:eastAsia="zh-CN"/>
              </w:rPr>
            </w:pPr>
            <w:r>
              <w:rPr>
                <w:rStyle w:val="11"/>
                <w:rFonts w:hint="eastAsia" w:ascii="宋体" w:hAnsi="宋体"/>
                <w:kern w:val="0"/>
                <w:sz w:val="24"/>
                <w:lang w:eastAsia="zh-CN"/>
              </w:rPr>
              <w:t>州委办秘书五科：</w:t>
            </w:r>
            <w:r>
              <w:rPr>
                <w:rStyle w:val="11"/>
                <w:rFonts w:hint="eastAsia" w:ascii="宋体" w:hAnsi="宋体"/>
                <w:kern w:val="0"/>
                <w:sz w:val="24"/>
                <w:lang w:val="en-US" w:eastAsia="zh-CN"/>
              </w:rPr>
              <w:t>8270060；</w:t>
            </w:r>
            <w:r>
              <w:rPr>
                <w:rStyle w:val="11"/>
                <w:rFonts w:hint="eastAsia" w:ascii="宋体" w:hAnsi="宋体"/>
                <w:kern w:val="0"/>
                <w:sz w:val="24"/>
                <w:lang w:eastAsia="zh-CN"/>
              </w:rPr>
              <w:t>州政府办建议提案科：</w:t>
            </w:r>
            <w:r>
              <w:rPr>
                <w:rStyle w:val="11"/>
                <w:rFonts w:hint="eastAsia" w:ascii="宋体" w:hAnsi="宋体"/>
                <w:kern w:val="0"/>
                <w:sz w:val="24"/>
                <w:lang w:val="en-US" w:eastAsia="zh-CN"/>
              </w:rPr>
              <w:t>8260016；</w:t>
            </w:r>
          </w:p>
          <w:p>
            <w:pPr>
              <w:jc w:val="left"/>
              <w:rPr>
                <w:rStyle w:val="11"/>
                <w:rFonts w:hint="default" w:ascii="宋体" w:hAnsi="宋体"/>
                <w:kern w:val="0"/>
                <w:sz w:val="24"/>
                <w:lang w:val="en-US"/>
              </w:rPr>
            </w:pPr>
            <w:r>
              <w:rPr>
                <w:rStyle w:val="11"/>
                <w:rFonts w:hint="eastAsia" w:ascii="宋体" w:hAnsi="宋体"/>
                <w:kern w:val="0"/>
                <w:sz w:val="24"/>
                <w:lang w:eastAsia="zh-CN"/>
              </w:rPr>
              <w:t>州政协提案</w:t>
            </w:r>
            <w:bookmarkStart w:id="0" w:name="_GoBack"/>
            <w:bookmarkEnd w:id="0"/>
            <w:r>
              <w:rPr>
                <w:rStyle w:val="11"/>
                <w:rFonts w:hint="eastAsia" w:ascii="宋体" w:hAnsi="宋体"/>
                <w:kern w:val="0"/>
                <w:sz w:val="24"/>
                <w:lang w:eastAsia="zh-CN"/>
              </w:rPr>
              <w:t>委：</w:t>
            </w:r>
            <w:r>
              <w:rPr>
                <w:rStyle w:val="11"/>
                <w:rFonts w:hint="eastAsia" w:ascii="宋体" w:hAnsi="宋体"/>
                <w:kern w:val="0"/>
                <w:sz w:val="24"/>
                <w:lang w:val="en-US" w:eastAsia="zh-CN"/>
              </w:rPr>
              <w:t>8428866</w:t>
            </w:r>
            <w:r>
              <w:rPr>
                <w:rStyle w:val="11"/>
                <w:rFonts w:hint="eastAsia" w:ascii="宋体" w:hAnsi="宋体"/>
                <w:kern w:val="0"/>
                <w:sz w:val="24"/>
                <w:lang w:eastAsia="zh-CN"/>
              </w:rPr>
              <w:t>。</w:t>
            </w:r>
          </w:p>
        </w:tc>
      </w:tr>
    </w:tbl>
    <w:p>
      <w:pPr>
        <w:jc w:val="left"/>
        <w:rPr>
          <w:rStyle w:val="11"/>
          <w:rFonts w:ascii="宋体" w:hAnsi="宋体"/>
          <w:kern w:val="0"/>
          <w:sz w:val="24"/>
        </w:rPr>
      </w:pPr>
      <w:r>
        <w:rPr>
          <w:rStyle w:val="11"/>
          <w:rFonts w:ascii="宋体" w:hAnsi="宋体"/>
          <w:kern w:val="0"/>
          <w:sz w:val="24"/>
        </w:rPr>
        <mc:AlternateContent>
          <mc:Choice Requires="wps">
            <w:drawing>
              <wp:inline distT="0" distB="0" distL="114300" distR="114300">
                <wp:extent cx="5212080" cy="35560"/>
                <wp:effectExtent l="0" t="0" r="7620" b="2540"/>
                <wp:docPr id="3" name="矩形 3"/>
                <wp:cNvGraphicFramePr/>
                <a:graphic xmlns:a="http://schemas.openxmlformats.org/drawingml/2006/main">
                  <a:graphicData uri="http://schemas.microsoft.com/office/word/2010/wordprocessingShape">
                    <wps:wsp>
                      <wps:cNvSpPr/>
                      <wps:spPr>
                        <a:xfrm>
                          <a:off x="0" y="0"/>
                          <a:ext cx="5212080" cy="3556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2.8pt;width:410.4pt;" fillcolor="#ACA899" filled="t" stroked="f" coordsize="21600,21600"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BCLY2xvwEAAHcDAAAOAAAAAAAAAAEAIAAAACIBAABkcnMvZTJvRG9jLnhtbFBL&#10;BQYAAAAABgAGAFkBAABTBQAAAAA=&#10;">
                <v:fill on="t" focussize="0,0"/>
                <v:stroke on="f"/>
                <v:imagedata o:title=""/>
                <o:lock v:ext="edit" aspectratio="f"/>
                <v:textbox>
                  <w:txbxContent>
                    <w:p/>
                  </w:txbxContent>
                </v:textbox>
                <w10:wrap type="none"/>
                <w10:anchorlock/>
              </v:rect>
            </w:pict>
          </mc:Fallback>
        </mc:AlternateContent>
      </w:r>
    </w:p>
    <w:p>
      <w:pPr>
        <w:keepNext w:val="0"/>
        <w:keepLines w:val="0"/>
        <w:pageBreakBefore w:val="0"/>
        <w:kinsoku/>
        <w:overflowPunct/>
        <w:autoSpaceDE/>
        <w:autoSpaceDN/>
        <w:bidi w:val="0"/>
        <w:adjustRightInd/>
        <w:spacing w:beforeAutospacing="0" w:afterAutospacing="0" w:line="560" w:lineRule="exact"/>
        <w:rPr>
          <w:rStyle w:val="11"/>
          <w:rFonts w:hint="eastAsia" w:ascii="仿宋_GB2312" w:hAnsi="宋体" w:eastAsia="仿宋_GB2312"/>
          <w:kern w:val="0"/>
          <w:sz w:val="32"/>
          <w:szCs w:val="32"/>
        </w:rPr>
      </w:pPr>
      <w:r>
        <w:rPr>
          <w:rStyle w:val="11"/>
          <w:rFonts w:hint="eastAsia" w:ascii="仿宋_GB2312" w:hAnsi="宋体" w:eastAsia="仿宋_GB2312"/>
          <w:kern w:val="0"/>
          <w:sz w:val="32"/>
          <w:szCs w:val="32"/>
        </w:rPr>
        <w:t>内容和办法</w:t>
      </w:r>
      <w:r>
        <w:rPr>
          <w:rStyle w:val="11"/>
          <w:rFonts w:hint="eastAsia" w:ascii="仿宋_GB2312" w:hAnsi="宋体" w:eastAsia="仿宋_GB2312"/>
          <w:kern w:val="0"/>
          <w:sz w:val="32"/>
          <w:szCs w:val="32"/>
          <w:lang w:eastAsia="zh-CN"/>
        </w:rPr>
        <w:t>：</w:t>
      </w:r>
    </w:p>
    <w:p>
      <w:pPr>
        <w:keepNext w:val="0"/>
        <w:keepLines w:val="0"/>
        <w:pageBreakBefore w:val="0"/>
        <w:widowControl w:val="0"/>
        <w:numPr>
          <w:ilvl w:val="0"/>
          <w:numId w:val="0"/>
        </w:numPr>
        <w:kinsoku/>
        <w:overflowPunct/>
        <w:autoSpaceDE/>
        <w:autoSpaceDN/>
        <w:bidi w:val="0"/>
        <w:adjustRightInd/>
        <w:snapToGrid w:val="0"/>
        <w:spacing w:beforeAutospacing="0" w:afterAutospacing="0" w:line="560" w:lineRule="exact"/>
        <w:ind w:firstLine="640" w:firstLineChars="200"/>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 xml:space="preserve">农产品加工转化率是反映农产品加工业发展水平、农产品市场竞争力的直接体现，也是农业高质量发展的重要考核指标。习近平总书记指出，“发展农产品加工业，推动一二三产业融合发展。” 发展农产品加工业，提高农产品加工转化率是推动农业高质量发展的最有效路径。 </w:t>
      </w:r>
    </w:p>
    <w:p>
      <w:pPr>
        <w:keepNext w:val="0"/>
        <w:keepLines w:val="0"/>
        <w:pageBreakBefore w:val="0"/>
        <w:widowControl w:val="0"/>
        <w:numPr>
          <w:ilvl w:val="0"/>
          <w:numId w:val="0"/>
        </w:numPr>
        <w:kinsoku/>
        <w:wordWrap w:val="0"/>
        <w:overflowPunct/>
        <w:topLinePunct/>
        <w:autoSpaceDE/>
        <w:autoSpaceDN/>
        <w:bidi w:val="0"/>
        <w:adjustRightInd/>
        <w:snapToGrid w:val="0"/>
        <w:spacing w:beforeAutospacing="0" w:afterAutospacing="0" w:line="560" w:lineRule="exact"/>
        <w:ind w:firstLine="640" w:firstLineChars="200"/>
        <w:jc w:val="both"/>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近年来，在州委州政府的坚强领导下，在各级各部门的共同推动下，我州农产品加工业有了长足发展，农产品加工转化率逐步提升。2020年我州农产品加工转化率为45.1%，比2019年提升了24个百分点。但比全省低5.9个百分点，比全国低22.4个百分点，差距较大。经调研分析，主要有以下原因</w:t>
      </w:r>
      <w:r>
        <w:rPr>
          <w:rFonts w:hint="eastAsia" w:eastAsia="仿宋_GB2312" w:cs="Times New Roman"/>
          <w:b w:val="0"/>
          <w:bCs/>
          <w:color w:val="auto"/>
          <w:sz w:val="32"/>
          <w:szCs w:val="32"/>
          <w:lang w:val="en-US" w:eastAsia="zh-CN"/>
        </w:rPr>
        <w:t>：</w:t>
      </w:r>
    </w:p>
    <w:p>
      <w:pPr>
        <w:keepNext w:val="0"/>
        <w:keepLines w:val="0"/>
        <w:pageBreakBefore w:val="0"/>
        <w:widowControl w:val="0"/>
        <w:numPr>
          <w:ilvl w:val="0"/>
          <w:numId w:val="0"/>
        </w:numPr>
        <w:kinsoku/>
        <w:wordWrap w:val="0"/>
        <w:overflowPunct/>
        <w:topLinePunct/>
        <w:autoSpaceDE/>
        <w:autoSpaceDN/>
        <w:bidi w:val="0"/>
        <w:adjustRightInd/>
        <w:snapToGrid w:val="0"/>
        <w:spacing w:beforeAutospacing="0" w:afterAutospacing="0" w:line="560" w:lineRule="exact"/>
        <w:ind w:firstLine="643" w:firstLineChars="200"/>
        <w:jc w:val="both"/>
        <w:textAlignment w:val="auto"/>
        <w:rPr>
          <w:rFonts w:hint="default" w:ascii="Times New Roman" w:hAnsi="Times New Roman" w:eastAsia="仿宋_GB2312" w:cs="Times New Roman"/>
          <w:b w:val="0"/>
          <w:bCs/>
          <w:color w:val="auto"/>
          <w:sz w:val="32"/>
          <w:szCs w:val="32"/>
          <w:lang w:val="en-US" w:eastAsia="zh-CN"/>
        </w:rPr>
      </w:pPr>
      <w:r>
        <w:rPr>
          <w:rFonts w:hint="eastAsia" w:ascii="Times New Roman" w:hAnsi="Times New Roman" w:eastAsia="仿宋_GB2312" w:cs="Times New Roman"/>
          <w:b/>
          <w:bCs w:val="0"/>
          <w:color w:val="auto"/>
          <w:sz w:val="32"/>
          <w:szCs w:val="32"/>
          <w:lang w:val="en-US" w:eastAsia="zh-CN"/>
        </w:rPr>
        <w:t>一、</w:t>
      </w:r>
      <w:r>
        <w:rPr>
          <w:rFonts w:hint="default" w:ascii="Times New Roman" w:hAnsi="Times New Roman" w:eastAsia="仿宋_GB2312" w:cs="Times New Roman"/>
          <w:b/>
          <w:bCs w:val="0"/>
          <w:color w:val="auto"/>
          <w:sz w:val="32"/>
          <w:szCs w:val="32"/>
          <w:lang w:val="en-US" w:eastAsia="zh-CN"/>
        </w:rPr>
        <w:t>企业原料基地规模小、散、弱。</w:t>
      </w:r>
      <w:r>
        <w:rPr>
          <w:rFonts w:hint="default" w:ascii="Times New Roman" w:hAnsi="Times New Roman" w:eastAsia="仿宋_GB2312" w:cs="Times New Roman"/>
          <w:b w:val="0"/>
          <w:bCs/>
          <w:color w:val="auto"/>
          <w:sz w:val="32"/>
          <w:szCs w:val="32"/>
          <w:lang w:val="en-US" w:eastAsia="zh-CN"/>
        </w:rPr>
        <w:t>由于山区面积大、土地破碎等原因，农业生产基地规模总体较小，分布较散，品种较杂，标准化水平较低，产品差异较大</w:t>
      </w:r>
      <w:r>
        <w:rPr>
          <w:rFonts w:hint="eastAsia" w:ascii="Times New Roman" w:hAnsi="Times New Roman" w:eastAsia="仿宋_GB2312" w:cs="Times New Roman"/>
          <w:b w:val="0"/>
          <w:bCs/>
          <w:color w:val="auto"/>
          <w:sz w:val="32"/>
          <w:szCs w:val="32"/>
          <w:lang w:val="en-US" w:eastAsia="zh-CN"/>
        </w:rPr>
        <w:t>，</w:t>
      </w:r>
      <w:r>
        <w:rPr>
          <w:rFonts w:hint="default" w:ascii="Times New Roman" w:hAnsi="Times New Roman" w:eastAsia="仿宋_GB2312" w:cs="Times New Roman"/>
          <w:b w:val="0"/>
          <w:bCs/>
          <w:color w:val="auto"/>
          <w:sz w:val="32"/>
          <w:szCs w:val="32"/>
          <w:lang w:val="en-US" w:eastAsia="zh-CN"/>
        </w:rPr>
        <w:t>难以满足加工原料条件。</w:t>
      </w:r>
    </w:p>
    <w:p>
      <w:pPr>
        <w:keepNext w:val="0"/>
        <w:keepLines w:val="0"/>
        <w:pageBreakBefore w:val="0"/>
        <w:widowControl w:val="0"/>
        <w:numPr>
          <w:ilvl w:val="0"/>
          <w:numId w:val="0"/>
        </w:numPr>
        <w:kinsoku/>
        <w:wordWrap w:val="0"/>
        <w:overflowPunct/>
        <w:topLinePunct/>
        <w:autoSpaceDE/>
        <w:autoSpaceDN/>
        <w:bidi w:val="0"/>
        <w:adjustRightInd/>
        <w:snapToGrid w:val="0"/>
        <w:spacing w:beforeAutospacing="0" w:afterAutospacing="0" w:line="560" w:lineRule="exact"/>
        <w:ind w:firstLine="643" w:firstLineChars="200"/>
        <w:jc w:val="both"/>
        <w:textAlignment w:val="auto"/>
        <w:rPr>
          <w:rFonts w:hint="default" w:ascii="Times New Roman" w:hAnsi="Times New Roman" w:eastAsia="仿宋_GB2312" w:cs="Times New Roman"/>
          <w:b w:val="0"/>
          <w:bCs/>
          <w:color w:val="auto"/>
          <w:sz w:val="32"/>
          <w:szCs w:val="32"/>
          <w:lang w:val="en-US" w:eastAsia="zh-CN"/>
        </w:rPr>
      </w:pPr>
      <w:r>
        <w:rPr>
          <w:rFonts w:hint="eastAsia" w:ascii="Times New Roman" w:hAnsi="Times New Roman" w:eastAsia="仿宋_GB2312" w:cs="Times New Roman"/>
          <w:b/>
          <w:bCs w:val="0"/>
          <w:color w:val="auto"/>
          <w:sz w:val="32"/>
          <w:szCs w:val="32"/>
          <w:lang w:val="en-US" w:eastAsia="zh-CN"/>
        </w:rPr>
        <w:t>二、</w:t>
      </w:r>
      <w:r>
        <w:rPr>
          <w:rFonts w:hint="default" w:ascii="Times New Roman" w:hAnsi="Times New Roman" w:eastAsia="仿宋_GB2312" w:cs="Times New Roman"/>
          <w:b/>
          <w:bCs w:val="0"/>
          <w:color w:val="auto"/>
          <w:sz w:val="32"/>
          <w:szCs w:val="32"/>
          <w:lang w:val="en-US" w:eastAsia="zh-CN"/>
        </w:rPr>
        <w:t>加工企业规模小、加工水平低。</w:t>
      </w:r>
      <w:r>
        <w:rPr>
          <w:rFonts w:hint="default" w:ascii="Times New Roman" w:hAnsi="Times New Roman" w:eastAsia="仿宋_GB2312" w:cs="Times New Roman"/>
          <w:b w:val="0"/>
          <w:bCs/>
          <w:color w:val="auto"/>
          <w:sz w:val="32"/>
          <w:szCs w:val="32"/>
          <w:lang w:val="en-US" w:eastAsia="zh-CN"/>
        </w:rPr>
        <w:t>一是农产品加工企业总体规模小，带动能力不强</w:t>
      </w:r>
      <w:r>
        <w:rPr>
          <w:rFonts w:hint="eastAsia" w:ascii="Times New Roman" w:hAnsi="Times New Roman" w:eastAsia="仿宋_GB2312" w:cs="Times New Roman"/>
          <w:b w:val="0"/>
          <w:bCs/>
          <w:color w:val="auto"/>
          <w:sz w:val="32"/>
          <w:szCs w:val="32"/>
          <w:lang w:val="en-US" w:eastAsia="zh-CN"/>
        </w:rPr>
        <w:t>。</w:t>
      </w:r>
      <w:r>
        <w:rPr>
          <w:rFonts w:hint="default" w:ascii="Times New Roman" w:hAnsi="Times New Roman" w:eastAsia="仿宋_GB2312" w:cs="Times New Roman"/>
          <w:b w:val="0"/>
          <w:bCs/>
          <w:color w:val="auto"/>
          <w:sz w:val="32"/>
          <w:szCs w:val="32"/>
          <w:lang w:val="en-US" w:eastAsia="zh-CN"/>
        </w:rPr>
        <w:t>二是企业创新能力</w:t>
      </w:r>
      <w:r>
        <w:rPr>
          <w:rFonts w:hint="eastAsia" w:ascii="Times New Roman" w:hAnsi="Times New Roman" w:eastAsia="仿宋_GB2312" w:cs="Times New Roman"/>
          <w:b w:val="0"/>
          <w:bCs/>
          <w:color w:val="auto"/>
          <w:sz w:val="32"/>
          <w:szCs w:val="32"/>
          <w:lang w:val="en-US" w:eastAsia="zh-CN"/>
        </w:rPr>
        <w:t>和</w:t>
      </w:r>
      <w:r>
        <w:rPr>
          <w:rFonts w:hint="default" w:ascii="Times New Roman" w:hAnsi="Times New Roman" w:eastAsia="仿宋_GB2312" w:cs="Times New Roman"/>
          <w:b w:val="0"/>
          <w:bCs/>
          <w:color w:val="auto"/>
          <w:sz w:val="32"/>
          <w:szCs w:val="32"/>
          <w:lang w:val="en-US" w:eastAsia="zh-CN"/>
        </w:rPr>
        <w:t>精深加工能力弱，产品科技含量不高</w:t>
      </w:r>
      <w:r>
        <w:rPr>
          <w:rFonts w:hint="eastAsia" w:ascii="Times New Roman" w:hAnsi="Times New Roman" w:eastAsia="仿宋_GB2312" w:cs="Times New Roman"/>
          <w:b w:val="0"/>
          <w:bCs/>
          <w:color w:val="auto"/>
          <w:sz w:val="32"/>
          <w:szCs w:val="32"/>
          <w:lang w:val="en-US" w:eastAsia="zh-CN"/>
        </w:rPr>
        <w:t>，</w:t>
      </w:r>
      <w:r>
        <w:rPr>
          <w:rFonts w:hint="default" w:ascii="Times New Roman" w:hAnsi="Times New Roman" w:eastAsia="仿宋_GB2312" w:cs="Times New Roman"/>
          <w:b w:val="0"/>
          <w:bCs/>
          <w:color w:val="auto"/>
          <w:sz w:val="32"/>
          <w:szCs w:val="32"/>
          <w:lang w:val="en-US" w:eastAsia="zh-CN"/>
        </w:rPr>
        <w:t>产品附加值低。</w:t>
      </w:r>
    </w:p>
    <w:p>
      <w:pPr>
        <w:keepNext w:val="0"/>
        <w:keepLines w:val="0"/>
        <w:pageBreakBefore w:val="0"/>
        <w:widowControl w:val="0"/>
        <w:numPr>
          <w:ilvl w:val="0"/>
          <w:numId w:val="0"/>
        </w:numPr>
        <w:kinsoku/>
        <w:wordWrap w:val="0"/>
        <w:overflowPunct/>
        <w:topLinePunct/>
        <w:autoSpaceDE/>
        <w:autoSpaceDN/>
        <w:bidi w:val="0"/>
        <w:adjustRightInd/>
        <w:snapToGrid w:val="0"/>
        <w:spacing w:beforeAutospacing="0" w:afterAutospacing="0" w:line="560" w:lineRule="exact"/>
        <w:ind w:firstLine="643" w:firstLineChars="200"/>
        <w:jc w:val="both"/>
        <w:textAlignment w:val="auto"/>
        <w:rPr>
          <w:rFonts w:hint="default" w:ascii="Times New Roman" w:hAnsi="Times New Roman" w:eastAsia="仿宋_GB2312" w:cs="Times New Roman"/>
          <w:b w:val="0"/>
          <w:bCs/>
          <w:color w:val="auto"/>
          <w:sz w:val="32"/>
          <w:szCs w:val="32"/>
          <w:lang w:val="en-US" w:eastAsia="zh-CN"/>
        </w:rPr>
      </w:pPr>
      <w:r>
        <w:rPr>
          <w:rFonts w:hint="eastAsia" w:ascii="Times New Roman" w:hAnsi="Times New Roman" w:eastAsia="仿宋_GB2312" w:cs="Times New Roman"/>
          <w:b/>
          <w:bCs w:val="0"/>
          <w:color w:val="auto"/>
          <w:sz w:val="32"/>
          <w:szCs w:val="32"/>
          <w:lang w:val="en-US" w:eastAsia="zh-CN"/>
        </w:rPr>
        <w:t>三、</w:t>
      </w:r>
      <w:r>
        <w:rPr>
          <w:rFonts w:hint="default" w:ascii="Times New Roman" w:hAnsi="Times New Roman" w:eastAsia="仿宋_GB2312" w:cs="Times New Roman"/>
          <w:b/>
          <w:bCs w:val="0"/>
          <w:color w:val="auto"/>
          <w:sz w:val="32"/>
          <w:szCs w:val="32"/>
          <w:lang w:val="en-US" w:eastAsia="zh-CN"/>
        </w:rPr>
        <w:t>品牌影响力不强。</w:t>
      </w:r>
      <w:r>
        <w:rPr>
          <w:rFonts w:hint="eastAsia" w:ascii="Times New Roman" w:hAnsi="Times New Roman" w:eastAsia="仿宋_GB2312" w:cs="Times New Roman"/>
          <w:b w:val="0"/>
          <w:bCs/>
          <w:color w:val="auto"/>
          <w:sz w:val="32"/>
          <w:szCs w:val="32"/>
          <w:lang w:val="en-US" w:eastAsia="zh-CN"/>
        </w:rPr>
        <w:t>我州</w:t>
      </w:r>
      <w:r>
        <w:rPr>
          <w:rFonts w:hint="default" w:ascii="Times New Roman" w:hAnsi="Times New Roman" w:eastAsia="仿宋_GB2312" w:cs="Times New Roman"/>
          <w:b w:val="0"/>
          <w:bCs/>
          <w:color w:val="auto"/>
          <w:sz w:val="32"/>
          <w:szCs w:val="32"/>
          <w:lang w:val="en-US" w:eastAsia="zh-CN"/>
        </w:rPr>
        <w:t>茶叶、蓝莓、油茶、食用菌、中药材、生态家禽等品质一流，但产业品牌较多较乱，存在“产品是高端、价格是中端、品牌是低端”</w:t>
      </w:r>
      <w:r>
        <w:rPr>
          <w:rFonts w:hint="eastAsia" w:ascii="Times New Roman" w:hAnsi="Times New Roman" w:eastAsia="仿宋_GB2312" w:cs="Times New Roman"/>
          <w:b w:val="0"/>
          <w:bCs/>
          <w:color w:val="auto"/>
          <w:sz w:val="32"/>
          <w:szCs w:val="32"/>
          <w:lang w:val="en-US" w:eastAsia="zh-CN"/>
        </w:rPr>
        <w:t>现象</w:t>
      </w:r>
      <w:r>
        <w:rPr>
          <w:rFonts w:hint="default" w:ascii="Times New Roman" w:hAnsi="Times New Roman" w:eastAsia="仿宋_GB2312" w:cs="Times New Roman"/>
          <w:b w:val="0"/>
          <w:bCs/>
          <w:color w:val="auto"/>
          <w:sz w:val="32"/>
          <w:szCs w:val="32"/>
          <w:lang w:val="en-US" w:eastAsia="zh-CN"/>
        </w:rPr>
        <w:t>。</w:t>
      </w:r>
    </w:p>
    <w:p>
      <w:pPr>
        <w:keepNext w:val="0"/>
        <w:keepLines w:val="0"/>
        <w:pageBreakBefore w:val="0"/>
        <w:widowControl w:val="0"/>
        <w:numPr>
          <w:ilvl w:val="0"/>
          <w:numId w:val="0"/>
        </w:numPr>
        <w:kinsoku/>
        <w:wordWrap w:val="0"/>
        <w:overflowPunct/>
        <w:topLinePunct/>
        <w:autoSpaceDE/>
        <w:autoSpaceDN/>
        <w:bidi w:val="0"/>
        <w:adjustRightInd/>
        <w:snapToGrid w:val="0"/>
        <w:spacing w:beforeAutospacing="0" w:afterAutospacing="0" w:line="560" w:lineRule="exact"/>
        <w:ind w:firstLine="643" w:firstLineChars="200"/>
        <w:jc w:val="both"/>
        <w:textAlignment w:val="auto"/>
        <w:rPr>
          <w:rFonts w:hint="default" w:ascii="Times New Roman" w:hAnsi="Times New Roman" w:eastAsia="仿宋_GB2312" w:cs="Times New Roman"/>
          <w:b w:val="0"/>
          <w:bCs/>
          <w:color w:val="auto"/>
          <w:sz w:val="32"/>
          <w:szCs w:val="32"/>
          <w:lang w:val="en-US" w:eastAsia="zh-CN"/>
        </w:rPr>
      </w:pPr>
      <w:r>
        <w:rPr>
          <w:rFonts w:hint="eastAsia" w:ascii="Times New Roman" w:hAnsi="Times New Roman" w:eastAsia="仿宋_GB2312" w:cs="Times New Roman"/>
          <w:b/>
          <w:bCs w:val="0"/>
          <w:color w:val="auto"/>
          <w:sz w:val="32"/>
          <w:szCs w:val="32"/>
          <w:lang w:val="en-US" w:eastAsia="zh-CN"/>
        </w:rPr>
        <w:t>四、</w:t>
      </w:r>
      <w:r>
        <w:rPr>
          <w:rFonts w:hint="default" w:ascii="Times New Roman" w:hAnsi="Times New Roman" w:eastAsia="仿宋_GB2312" w:cs="Times New Roman"/>
          <w:b/>
          <w:bCs w:val="0"/>
          <w:color w:val="auto"/>
          <w:sz w:val="32"/>
          <w:szCs w:val="32"/>
          <w:lang w:val="en-US" w:eastAsia="zh-CN"/>
        </w:rPr>
        <w:t>扶持力度不够。</w:t>
      </w:r>
      <w:r>
        <w:rPr>
          <w:rFonts w:hint="default" w:ascii="Times New Roman" w:hAnsi="Times New Roman" w:eastAsia="仿宋_GB2312" w:cs="Times New Roman"/>
          <w:b w:val="0"/>
          <w:bCs/>
          <w:color w:val="auto"/>
          <w:sz w:val="32"/>
          <w:szCs w:val="32"/>
          <w:lang w:val="en-US" w:eastAsia="zh-CN"/>
        </w:rPr>
        <w:t>一是现有地方财政鼓励支持农产品加工产业发展的政策少，对龙头企业技改贴息、基地建设和品牌创建等方面扶持力度不够。二是农产品加工企业普遍贷款抵押能力弱，银行贷款门槛高，审批程序繁琐，大部分企业融资难。</w:t>
      </w:r>
    </w:p>
    <w:p>
      <w:pPr>
        <w:pStyle w:val="12"/>
        <w:keepNext w:val="0"/>
        <w:keepLines w:val="0"/>
        <w:pageBreakBefore w:val="0"/>
        <w:widowControl w:val="0"/>
        <w:numPr>
          <w:ilvl w:val="0"/>
          <w:numId w:val="0"/>
        </w:numPr>
        <w:kinsoku/>
        <w:wordWrap w:val="0"/>
        <w:overflowPunct/>
        <w:topLinePunct/>
        <w:autoSpaceDE/>
        <w:autoSpaceDN/>
        <w:bidi w:val="0"/>
        <w:adjustRightInd/>
        <w:snapToGrid w:val="0"/>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b w:val="0"/>
          <w:bCs/>
          <w:color w:val="auto"/>
          <w:kern w:val="2"/>
          <w:sz w:val="32"/>
          <w:szCs w:val="32"/>
          <w:lang w:val="en-US" w:eastAsia="zh-CN" w:bidi="ar-SA"/>
        </w:rPr>
      </w:pPr>
      <w:r>
        <w:rPr>
          <w:rFonts w:hint="default" w:ascii="Times New Roman" w:hAnsi="Times New Roman" w:eastAsia="仿宋_GB2312" w:cs="Times New Roman"/>
          <w:b w:val="0"/>
          <w:bCs/>
          <w:color w:val="auto"/>
          <w:kern w:val="2"/>
          <w:sz w:val="32"/>
          <w:szCs w:val="32"/>
          <w:lang w:val="en-US" w:eastAsia="zh-CN" w:bidi="ar-SA"/>
        </w:rPr>
        <w:t>建议</w:t>
      </w:r>
      <w:r>
        <w:rPr>
          <w:rFonts w:hint="eastAsia" w:ascii="Times New Roman" w:hAnsi="Times New Roman" w:eastAsia="仿宋_GB2312" w:cs="Times New Roman"/>
          <w:b w:val="0"/>
          <w:bCs/>
          <w:color w:val="auto"/>
          <w:kern w:val="2"/>
          <w:sz w:val="32"/>
          <w:szCs w:val="32"/>
          <w:lang w:val="en-US" w:eastAsia="zh-CN" w:bidi="ar-SA"/>
        </w:rPr>
        <w:t>：</w:t>
      </w:r>
    </w:p>
    <w:p>
      <w:pPr>
        <w:pStyle w:val="6"/>
        <w:keepNext w:val="0"/>
        <w:keepLines w:val="0"/>
        <w:pageBreakBefore w:val="0"/>
        <w:widowControl w:val="0"/>
        <w:numPr>
          <w:ilvl w:val="0"/>
          <w:numId w:val="0"/>
        </w:numPr>
        <w:shd w:val="clear" w:color="auto" w:fill="FFFFFF"/>
        <w:kinsoku/>
        <w:wordWrap w:val="0"/>
        <w:overflowPunct/>
        <w:topLinePunct/>
        <w:autoSpaceDE/>
        <w:autoSpaceDN/>
        <w:bidi w:val="0"/>
        <w:adjustRightInd/>
        <w:snapToGrid w:val="0"/>
        <w:spacing w:beforeAutospacing="0" w:afterAutospacing="0" w:line="560" w:lineRule="exact"/>
        <w:ind w:firstLine="640" w:firstLineChars="200"/>
        <w:jc w:val="both"/>
        <w:textAlignment w:val="auto"/>
        <w:rPr>
          <w:rFonts w:hint="default" w:ascii="黑体" w:hAnsi="黑体" w:eastAsia="黑体" w:cs="黑体"/>
          <w:b w:val="0"/>
          <w:bCs/>
          <w:color w:val="auto"/>
          <w:kern w:val="2"/>
          <w:sz w:val="32"/>
          <w:szCs w:val="32"/>
          <w:lang w:val="en-US" w:eastAsia="zh-CN" w:bidi="ar-SA"/>
        </w:rPr>
      </w:pPr>
      <w:r>
        <w:rPr>
          <w:rFonts w:hint="eastAsia" w:ascii="黑体" w:hAnsi="黑体" w:eastAsia="黑体" w:cs="黑体"/>
          <w:b w:val="0"/>
          <w:bCs/>
          <w:color w:val="auto"/>
          <w:kern w:val="2"/>
          <w:sz w:val="32"/>
          <w:szCs w:val="32"/>
          <w:lang w:val="en-US" w:eastAsia="zh-CN" w:bidi="ar-SA"/>
        </w:rPr>
        <w:t>一、强化基地建设</w:t>
      </w:r>
      <w:r>
        <w:rPr>
          <w:rFonts w:hint="default" w:ascii="黑体" w:hAnsi="黑体" w:eastAsia="黑体" w:cs="黑体"/>
          <w:b w:val="0"/>
          <w:bCs/>
          <w:color w:val="auto"/>
          <w:kern w:val="2"/>
          <w:sz w:val="32"/>
          <w:szCs w:val="32"/>
          <w:lang w:val="en-US" w:eastAsia="zh-CN" w:bidi="ar-SA"/>
        </w:rPr>
        <w:t>，为企业提供充足优质的原料</w:t>
      </w:r>
    </w:p>
    <w:p>
      <w:pPr>
        <w:pStyle w:val="12"/>
        <w:keepNext w:val="0"/>
        <w:keepLines w:val="0"/>
        <w:pageBreakBefore w:val="0"/>
        <w:widowControl w:val="0"/>
        <w:numPr>
          <w:ilvl w:val="0"/>
          <w:numId w:val="0"/>
        </w:numPr>
        <w:kinsoku/>
        <w:wordWrap w:val="0"/>
        <w:overflowPunct/>
        <w:topLinePunct/>
        <w:autoSpaceDE/>
        <w:autoSpaceDN/>
        <w:bidi w:val="0"/>
        <w:adjustRightInd/>
        <w:snapToGrid w:val="0"/>
        <w:spacing w:beforeAutospacing="0" w:afterAutospacing="0" w:line="560" w:lineRule="exact"/>
        <w:ind w:left="0" w:leftChars="0" w:firstLine="643" w:firstLineChars="200"/>
        <w:jc w:val="both"/>
        <w:textAlignment w:val="auto"/>
        <w:rPr>
          <w:rFonts w:hint="default" w:ascii="Times New Roman" w:hAnsi="Times New Roman" w:eastAsia="仿宋_GB2312" w:cs="Times New Roman"/>
          <w:b w:val="0"/>
          <w:bCs/>
          <w:color w:val="auto"/>
          <w:kern w:val="0"/>
          <w:sz w:val="32"/>
          <w:szCs w:val="32"/>
          <w:lang w:eastAsia="zh-CN"/>
        </w:rPr>
      </w:pPr>
      <w:r>
        <w:rPr>
          <w:rFonts w:hint="eastAsia" w:ascii="Times New Roman" w:hAnsi="Times New Roman" w:eastAsia="仿宋_GB2312" w:cs="Times New Roman"/>
          <w:b/>
          <w:bCs/>
          <w:color w:val="auto"/>
          <w:kern w:val="2"/>
          <w:sz w:val="32"/>
          <w:szCs w:val="32"/>
          <w:lang w:val="en-US" w:eastAsia="zh-CN" w:bidi="ar-SA"/>
        </w:rPr>
        <w:t>一是</w:t>
      </w:r>
      <w:r>
        <w:rPr>
          <w:rFonts w:hint="default" w:ascii="Times New Roman" w:hAnsi="Times New Roman" w:eastAsia="仿宋_GB2312" w:cs="Times New Roman"/>
          <w:b w:val="0"/>
          <w:bCs w:val="0"/>
          <w:color w:val="auto"/>
          <w:kern w:val="2"/>
          <w:sz w:val="32"/>
          <w:szCs w:val="32"/>
          <w:lang w:val="en-US" w:eastAsia="zh-CN" w:bidi="ar-SA"/>
        </w:rPr>
        <w:t>建议</w:t>
      </w:r>
      <w:r>
        <w:rPr>
          <w:rFonts w:hint="default" w:ascii="Times New Roman" w:hAnsi="Times New Roman" w:eastAsia="仿宋_GB2312" w:cs="Times New Roman"/>
          <w:b w:val="0"/>
          <w:bCs/>
          <w:color w:val="auto"/>
          <w:kern w:val="0"/>
          <w:sz w:val="32"/>
          <w:szCs w:val="32"/>
        </w:rPr>
        <w:t>充分发挥各地农业资源优势，</w:t>
      </w:r>
      <w:r>
        <w:rPr>
          <w:rFonts w:hint="default" w:ascii="Times New Roman" w:hAnsi="Times New Roman" w:eastAsia="仿宋_GB2312" w:cs="Times New Roman"/>
          <w:b w:val="0"/>
          <w:bCs/>
          <w:color w:val="auto"/>
          <w:kern w:val="0"/>
          <w:sz w:val="32"/>
          <w:szCs w:val="32"/>
          <w:lang w:val="en-US" w:eastAsia="zh-CN"/>
        </w:rPr>
        <w:t>打破县域限制，集中力量</w:t>
      </w:r>
      <w:r>
        <w:rPr>
          <w:rFonts w:hint="default" w:ascii="Times New Roman" w:hAnsi="Times New Roman" w:eastAsia="仿宋_GB2312" w:cs="Times New Roman"/>
          <w:b w:val="0"/>
          <w:bCs/>
          <w:color w:val="auto"/>
          <w:kern w:val="0"/>
          <w:sz w:val="32"/>
          <w:szCs w:val="32"/>
        </w:rPr>
        <w:t>培育一批规模化、标准化、无公害的原料基地，</w:t>
      </w:r>
      <w:r>
        <w:rPr>
          <w:rFonts w:hint="default" w:ascii="Times New Roman" w:hAnsi="Times New Roman" w:eastAsia="仿宋_GB2312" w:cs="Times New Roman"/>
          <w:b w:val="0"/>
          <w:bCs/>
          <w:color w:val="auto"/>
          <w:kern w:val="0"/>
          <w:sz w:val="32"/>
          <w:szCs w:val="32"/>
          <w:lang w:val="en-US" w:eastAsia="zh-CN"/>
        </w:rPr>
        <w:t>努力扩大单品种植面积，</w:t>
      </w:r>
      <w:r>
        <w:rPr>
          <w:rFonts w:hint="default" w:ascii="Times New Roman" w:hAnsi="Times New Roman" w:eastAsia="仿宋_GB2312" w:cs="Times New Roman"/>
          <w:b w:val="0"/>
          <w:bCs/>
          <w:color w:val="auto"/>
          <w:kern w:val="0"/>
          <w:sz w:val="32"/>
          <w:szCs w:val="32"/>
        </w:rPr>
        <w:t>开展原材料基地认证，形成特色鲜明、布局合理、效益显著的农产品生产基地</w:t>
      </w:r>
      <w:r>
        <w:rPr>
          <w:rFonts w:hint="default" w:ascii="Times New Roman" w:hAnsi="Times New Roman" w:eastAsia="仿宋_GB2312" w:cs="Times New Roman"/>
          <w:b w:val="0"/>
          <w:bCs/>
          <w:color w:val="auto"/>
          <w:kern w:val="0"/>
          <w:sz w:val="32"/>
          <w:szCs w:val="32"/>
          <w:lang w:eastAsia="zh-CN"/>
        </w:rPr>
        <w:t>，</w:t>
      </w:r>
      <w:r>
        <w:rPr>
          <w:rFonts w:hint="default" w:ascii="Times New Roman" w:hAnsi="Times New Roman" w:eastAsia="仿宋_GB2312" w:cs="Times New Roman"/>
          <w:b w:val="0"/>
          <w:bCs/>
          <w:color w:val="auto"/>
          <w:kern w:val="0"/>
          <w:sz w:val="32"/>
          <w:szCs w:val="32"/>
          <w:lang w:val="en-US" w:eastAsia="zh-CN"/>
        </w:rPr>
        <w:t>为农产品加工提供优质可靠</w:t>
      </w:r>
      <w:r>
        <w:rPr>
          <w:rFonts w:hint="eastAsia" w:ascii="Times New Roman" w:hAnsi="Times New Roman" w:eastAsia="仿宋_GB2312" w:cs="Times New Roman"/>
          <w:b w:val="0"/>
          <w:bCs/>
          <w:color w:val="auto"/>
          <w:kern w:val="0"/>
          <w:sz w:val="32"/>
          <w:szCs w:val="32"/>
          <w:lang w:val="en-US" w:eastAsia="zh-CN"/>
        </w:rPr>
        <w:t>、</w:t>
      </w:r>
      <w:r>
        <w:rPr>
          <w:rFonts w:hint="default" w:ascii="Times New Roman" w:hAnsi="Times New Roman" w:eastAsia="仿宋_GB2312" w:cs="Times New Roman"/>
          <w:b w:val="0"/>
          <w:bCs/>
          <w:color w:val="auto"/>
          <w:kern w:val="0"/>
          <w:sz w:val="32"/>
          <w:szCs w:val="32"/>
          <w:lang w:val="en-US" w:eastAsia="zh-CN"/>
        </w:rPr>
        <w:t>来源稳定的原材料供应</w:t>
      </w:r>
      <w:r>
        <w:rPr>
          <w:rFonts w:hint="default" w:ascii="Times New Roman" w:hAnsi="Times New Roman" w:eastAsia="仿宋_GB2312" w:cs="Times New Roman"/>
          <w:b w:val="0"/>
          <w:bCs/>
          <w:color w:val="auto"/>
          <w:kern w:val="0"/>
          <w:sz w:val="32"/>
          <w:szCs w:val="32"/>
        </w:rPr>
        <w:t>。</w:t>
      </w:r>
      <w:r>
        <w:rPr>
          <w:rFonts w:hint="eastAsia" w:ascii="Times New Roman" w:hAnsi="Times New Roman" w:eastAsia="仿宋_GB2312" w:cs="Times New Roman"/>
          <w:b/>
          <w:bCs w:val="0"/>
          <w:color w:val="auto"/>
          <w:kern w:val="0"/>
          <w:sz w:val="32"/>
          <w:szCs w:val="32"/>
          <w:lang w:eastAsia="zh-CN"/>
        </w:rPr>
        <w:t>二是</w:t>
      </w:r>
      <w:r>
        <w:rPr>
          <w:rFonts w:hint="eastAsia" w:ascii="仿宋_GB2312" w:hAnsi="仿宋_GB2312" w:eastAsia="仿宋_GB2312" w:cs="仿宋_GB2312"/>
          <w:b w:val="0"/>
          <w:bCs/>
          <w:color w:val="auto"/>
          <w:kern w:val="2"/>
          <w:sz w:val="32"/>
          <w:szCs w:val="32"/>
          <w:lang w:val="en-US" w:eastAsia="zh-CN" w:bidi="ar-SA"/>
        </w:rPr>
        <w:t>引导企业依托现有的“龙头企业+基地+农户”“龙头企业+合作社+农户”等经营模式，进一步强化企业与农户的经济和法律责任约束，真正形成“利益共享、风险共担”，使企业与农户建立稳定的利益联结机制。</w:t>
      </w:r>
    </w:p>
    <w:p>
      <w:pPr>
        <w:pStyle w:val="6"/>
        <w:keepNext w:val="0"/>
        <w:keepLines w:val="0"/>
        <w:pageBreakBefore w:val="0"/>
        <w:widowControl w:val="0"/>
        <w:numPr>
          <w:ilvl w:val="0"/>
          <w:numId w:val="0"/>
        </w:numPr>
        <w:shd w:val="clear" w:color="auto" w:fill="FFFFFF"/>
        <w:kinsoku/>
        <w:wordWrap w:val="0"/>
        <w:overflowPunct/>
        <w:topLinePunct/>
        <w:autoSpaceDE/>
        <w:autoSpaceDN/>
        <w:bidi w:val="0"/>
        <w:adjustRightInd/>
        <w:snapToGrid w:val="0"/>
        <w:spacing w:beforeAutospacing="0" w:afterAutospacing="0" w:line="560" w:lineRule="exact"/>
        <w:ind w:firstLine="640" w:firstLineChars="200"/>
        <w:jc w:val="both"/>
        <w:textAlignment w:val="auto"/>
        <w:rPr>
          <w:rFonts w:hint="default" w:ascii="黑体" w:hAnsi="黑体" w:eastAsia="黑体" w:cs="黑体"/>
          <w:b w:val="0"/>
          <w:bCs/>
          <w:color w:val="auto"/>
          <w:kern w:val="2"/>
          <w:sz w:val="32"/>
          <w:szCs w:val="32"/>
          <w:lang w:val="en-US" w:eastAsia="zh-CN" w:bidi="ar-SA"/>
        </w:rPr>
      </w:pPr>
      <w:r>
        <w:rPr>
          <w:rFonts w:hint="eastAsia" w:ascii="黑体" w:hAnsi="黑体" w:eastAsia="黑体" w:cs="黑体"/>
          <w:b w:val="0"/>
          <w:bCs/>
          <w:color w:val="auto"/>
          <w:kern w:val="2"/>
          <w:sz w:val="32"/>
          <w:szCs w:val="32"/>
          <w:lang w:val="en-US" w:eastAsia="zh-CN" w:bidi="ar-SA"/>
        </w:rPr>
        <w:t>二、</w:t>
      </w:r>
      <w:r>
        <w:rPr>
          <w:rFonts w:hint="default" w:ascii="黑体" w:hAnsi="黑体" w:eastAsia="黑体" w:cs="黑体"/>
          <w:b w:val="0"/>
          <w:bCs/>
          <w:color w:val="auto"/>
          <w:kern w:val="2"/>
          <w:sz w:val="32"/>
          <w:szCs w:val="32"/>
          <w:lang w:val="en-US" w:eastAsia="zh-CN" w:bidi="ar-SA"/>
        </w:rPr>
        <w:t>强化企业布局，统筹抓好农产品初级和精深加工</w:t>
      </w:r>
    </w:p>
    <w:p>
      <w:pPr>
        <w:pStyle w:val="6"/>
        <w:keepNext w:val="0"/>
        <w:keepLines w:val="0"/>
        <w:pageBreakBefore w:val="0"/>
        <w:widowControl w:val="0"/>
        <w:numPr>
          <w:ilvl w:val="0"/>
          <w:numId w:val="0"/>
        </w:numPr>
        <w:shd w:val="clear" w:color="auto" w:fill="FFFFFF"/>
        <w:kinsoku/>
        <w:wordWrap w:val="0"/>
        <w:overflowPunct/>
        <w:topLinePunct/>
        <w:autoSpaceDE/>
        <w:autoSpaceDN/>
        <w:bidi w:val="0"/>
        <w:adjustRightInd/>
        <w:snapToGrid w:val="0"/>
        <w:spacing w:beforeAutospacing="0" w:afterAutospacing="0" w:line="560" w:lineRule="exact"/>
        <w:ind w:firstLine="643" w:firstLineChars="200"/>
        <w:jc w:val="both"/>
        <w:textAlignment w:val="auto"/>
        <w:rPr>
          <w:rFonts w:hint="default" w:ascii="Times New Roman" w:hAnsi="Times New Roman" w:eastAsia="仿宋_GB2312" w:cs="Times New Roman"/>
          <w:b w:val="0"/>
          <w:bCs/>
          <w:color w:val="auto"/>
          <w:kern w:val="0"/>
          <w:sz w:val="32"/>
          <w:szCs w:val="32"/>
          <w:highlight w:val="none"/>
        </w:rPr>
      </w:pPr>
      <w:r>
        <w:rPr>
          <w:rFonts w:hint="default" w:ascii="Times New Roman" w:hAnsi="Times New Roman" w:eastAsia="仿宋_GB2312" w:cs="Times New Roman"/>
          <w:b/>
          <w:bCs w:val="0"/>
          <w:color w:val="auto"/>
          <w:kern w:val="0"/>
          <w:sz w:val="32"/>
          <w:szCs w:val="32"/>
          <w:lang w:val="en-US" w:eastAsia="zh-CN"/>
        </w:rPr>
        <w:t>一</w:t>
      </w:r>
      <w:r>
        <w:rPr>
          <w:rFonts w:hint="default" w:ascii="Times New Roman" w:hAnsi="Times New Roman" w:eastAsia="仿宋_GB2312" w:cs="Times New Roman"/>
          <w:b/>
          <w:bCs w:val="0"/>
          <w:color w:val="auto"/>
          <w:kern w:val="0"/>
          <w:sz w:val="32"/>
          <w:szCs w:val="32"/>
        </w:rPr>
        <w:t>是</w:t>
      </w:r>
      <w:r>
        <w:rPr>
          <w:rFonts w:hint="default" w:ascii="Times New Roman" w:hAnsi="Times New Roman" w:eastAsia="仿宋_GB2312" w:cs="Times New Roman"/>
          <w:b w:val="0"/>
          <w:bCs/>
          <w:color w:val="auto"/>
          <w:kern w:val="0"/>
          <w:sz w:val="32"/>
          <w:szCs w:val="32"/>
        </w:rPr>
        <w:t>做优农产品产地初加工</w:t>
      </w:r>
      <w:r>
        <w:rPr>
          <w:rFonts w:hint="default" w:ascii="Times New Roman" w:hAnsi="Times New Roman" w:eastAsia="仿宋_GB2312" w:cs="Times New Roman"/>
          <w:b w:val="0"/>
          <w:bCs/>
          <w:color w:val="auto"/>
          <w:kern w:val="0"/>
          <w:sz w:val="32"/>
          <w:szCs w:val="32"/>
          <w:lang w:eastAsia="zh-CN"/>
        </w:rPr>
        <w:t>。</w:t>
      </w:r>
      <w:r>
        <w:rPr>
          <w:rFonts w:hint="default" w:ascii="Times New Roman" w:hAnsi="Times New Roman" w:eastAsia="仿宋_GB2312" w:cs="Times New Roman"/>
          <w:b w:val="0"/>
          <w:bCs/>
          <w:color w:val="auto"/>
          <w:kern w:val="2"/>
          <w:sz w:val="32"/>
          <w:szCs w:val="32"/>
          <w:lang w:val="en-US" w:eastAsia="zh-CN" w:bidi="ar-SA"/>
        </w:rPr>
        <w:t>推进农产品加工业向优势产区集中布局</w:t>
      </w:r>
      <w:r>
        <w:rPr>
          <w:rFonts w:hint="default" w:ascii="Times New Roman" w:hAnsi="Times New Roman" w:eastAsia="仿宋_GB2312" w:cs="Times New Roman"/>
          <w:b w:val="0"/>
          <w:bCs/>
          <w:color w:val="auto"/>
          <w:kern w:val="0"/>
          <w:sz w:val="32"/>
          <w:szCs w:val="32"/>
          <w:highlight w:val="none"/>
        </w:rPr>
        <w:t>，支持农产品加工企业</w:t>
      </w:r>
      <w:r>
        <w:rPr>
          <w:rFonts w:hint="default" w:ascii="Times New Roman" w:hAnsi="Times New Roman" w:eastAsia="仿宋_GB2312" w:cs="Times New Roman"/>
          <w:b w:val="0"/>
          <w:bCs/>
          <w:color w:val="auto"/>
          <w:kern w:val="0"/>
          <w:sz w:val="32"/>
          <w:szCs w:val="32"/>
          <w:highlight w:val="none"/>
          <w:lang w:eastAsia="zh-CN"/>
        </w:rPr>
        <w:t>、</w:t>
      </w:r>
      <w:r>
        <w:rPr>
          <w:rFonts w:hint="default" w:ascii="Times New Roman" w:hAnsi="Times New Roman" w:eastAsia="仿宋_GB2312" w:cs="Times New Roman"/>
          <w:b w:val="0"/>
          <w:bCs/>
          <w:color w:val="auto"/>
          <w:kern w:val="0"/>
          <w:sz w:val="32"/>
          <w:szCs w:val="32"/>
          <w:highlight w:val="none"/>
        </w:rPr>
        <w:t>新型农业经营主体发展</w:t>
      </w:r>
      <w:r>
        <w:rPr>
          <w:rFonts w:hint="default" w:ascii="Times New Roman" w:hAnsi="Times New Roman" w:eastAsia="仿宋_GB2312" w:cs="Times New Roman"/>
          <w:b w:val="0"/>
          <w:bCs/>
          <w:color w:val="auto"/>
          <w:kern w:val="0"/>
          <w:sz w:val="32"/>
          <w:szCs w:val="32"/>
          <w:highlight w:val="none"/>
          <w:lang w:eastAsia="zh-CN"/>
        </w:rPr>
        <w:t>清洗、分拣、包装、储藏、保鲜、烘干等初加工产业</w:t>
      </w:r>
      <w:r>
        <w:rPr>
          <w:rFonts w:hint="eastAsia" w:ascii="Times New Roman" w:hAnsi="Times New Roman" w:eastAsia="仿宋_GB2312" w:cs="Times New Roman"/>
          <w:b w:val="0"/>
          <w:bCs/>
          <w:color w:val="auto"/>
          <w:kern w:val="0"/>
          <w:sz w:val="32"/>
          <w:szCs w:val="32"/>
          <w:highlight w:val="none"/>
          <w:lang w:eastAsia="zh-CN"/>
        </w:rPr>
        <w:t>，</w:t>
      </w:r>
      <w:r>
        <w:rPr>
          <w:rFonts w:hint="eastAsia" w:ascii="仿宋_GB2312" w:hAnsi="仿宋_GB2312" w:eastAsia="仿宋_GB2312" w:cs="仿宋_GB2312"/>
          <w:b w:val="0"/>
          <w:bCs/>
          <w:color w:val="auto"/>
          <w:kern w:val="2"/>
          <w:sz w:val="32"/>
          <w:szCs w:val="32"/>
          <w:lang w:val="en-US" w:eastAsia="zh-CN" w:bidi="ar-SA"/>
        </w:rPr>
        <w:t>培育一批加工型新型经营市场主体。</w:t>
      </w:r>
      <w:r>
        <w:rPr>
          <w:rFonts w:hint="default" w:ascii="Times New Roman" w:hAnsi="Times New Roman" w:eastAsia="仿宋_GB2312" w:cs="Times New Roman"/>
          <w:b w:val="0"/>
          <w:bCs/>
          <w:color w:val="auto"/>
          <w:kern w:val="0"/>
          <w:sz w:val="32"/>
          <w:szCs w:val="32"/>
          <w:highlight w:val="none"/>
          <w:lang w:val="en-US" w:eastAsia="zh-CN"/>
        </w:rPr>
        <w:t>二</w:t>
      </w:r>
      <w:r>
        <w:rPr>
          <w:rFonts w:hint="default" w:ascii="Times New Roman" w:hAnsi="Times New Roman" w:eastAsia="仿宋_GB2312" w:cs="Times New Roman"/>
          <w:b/>
          <w:bCs w:val="0"/>
          <w:color w:val="auto"/>
          <w:kern w:val="0"/>
          <w:sz w:val="32"/>
          <w:szCs w:val="32"/>
        </w:rPr>
        <w:t>是</w:t>
      </w:r>
      <w:r>
        <w:rPr>
          <w:rFonts w:hint="default" w:ascii="Times New Roman" w:hAnsi="Times New Roman" w:eastAsia="仿宋_GB2312" w:cs="Times New Roman"/>
          <w:b w:val="0"/>
          <w:bCs/>
          <w:color w:val="auto"/>
          <w:kern w:val="0"/>
          <w:sz w:val="32"/>
          <w:szCs w:val="32"/>
        </w:rPr>
        <w:t>做强农产品精深加工</w:t>
      </w:r>
      <w:r>
        <w:rPr>
          <w:rFonts w:hint="default" w:ascii="Times New Roman" w:hAnsi="Times New Roman" w:eastAsia="仿宋_GB2312" w:cs="Times New Roman"/>
          <w:b w:val="0"/>
          <w:bCs/>
          <w:color w:val="auto"/>
          <w:kern w:val="0"/>
          <w:sz w:val="32"/>
          <w:szCs w:val="32"/>
          <w:lang w:eastAsia="zh-CN"/>
        </w:rPr>
        <w:t>。</w:t>
      </w:r>
      <w:r>
        <w:rPr>
          <w:rFonts w:hint="eastAsia" w:ascii="Times New Roman" w:hAnsi="Times New Roman" w:eastAsia="仿宋_GB2312" w:cs="Times New Roman"/>
          <w:b w:val="0"/>
          <w:bCs/>
          <w:color w:val="auto"/>
          <w:kern w:val="0"/>
          <w:sz w:val="32"/>
          <w:szCs w:val="32"/>
          <w:lang w:val="en-US" w:eastAsia="zh-CN"/>
        </w:rPr>
        <w:t>首先</w:t>
      </w:r>
      <w:r>
        <w:rPr>
          <w:rFonts w:hint="eastAsia" w:eastAsia="仿宋_GB2312" w:cs="Times New Roman"/>
          <w:b w:val="0"/>
          <w:bCs/>
          <w:color w:val="auto"/>
          <w:kern w:val="0"/>
          <w:sz w:val="32"/>
          <w:szCs w:val="32"/>
          <w:lang w:val="en-US" w:eastAsia="zh-CN"/>
        </w:rPr>
        <w:t>鼓励企业</w:t>
      </w:r>
      <w:r>
        <w:rPr>
          <w:rFonts w:hint="default" w:ascii="Times New Roman" w:hAnsi="Times New Roman" w:eastAsia="仿宋_GB2312" w:cs="Times New Roman"/>
          <w:b w:val="0"/>
          <w:bCs/>
          <w:color w:val="auto"/>
          <w:kern w:val="2"/>
          <w:sz w:val="32"/>
          <w:szCs w:val="32"/>
        </w:rPr>
        <w:t>提高包括厂房、车间、设备、仓储设施等硬件设施在内的物质技术装备水平，</w:t>
      </w:r>
      <w:r>
        <w:rPr>
          <w:rFonts w:hint="eastAsia" w:ascii="仿宋_GB2312" w:hAnsi="仿宋_GB2312" w:eastAsia="仿宋_GB2312" w:cs="仿宋_GB2312"/>
          <w:b w:val="0"/>
          <w:bCs/>
          <w:color w:val="auto"/>
          <w:kern w:val="2"/>
          <w:sz w:val="32"/>
          <w:szCs w:val="32"/>
          <w:lang w:val="en-US" w:eastAsia="zh-CN" w:bidi="ar-SA"/>
        </w:rPr>
        <w:t>促进产业优化升级。其次</w:t>
      </w:r>
      <w:r>
        <w:rPr>
          <w:rFonts w:hint="default" w:ascii="Times New Roman" w:hAnsi="Times New Roman" w:eastAsia="仿宋_GB2312" w:cs="Times New Roman"/>
          <w:b w:val="0"/>
          <w:bCs/>
          <w:color w:val="auto"/>
          <w:kern w:val="0"/>
          <w:sz w:val="32"/>
          <w:szCs w:val="32"/>
          <w:highlight w:val="none"/>
        </w:rPr>
        <w:t>重点围绕蓝莓、油茶、食用菌、果蔬、生态畜牧及中药材等</w:t>
      </w:r>
      <w:r>
        <w:rPr>
          <w:rFonts w:hint="eastAsia" w:eastAsia="仿宋_GB2312" w:cs="Times New Roman"/>
          <w:b w:val="0"/>
          <w:bCs/>
          <w:color w:val="auto"/>
          <w:kern w:val="0"/>
          <w:sz w:val="32"/>
          <w:szCs w:val="32"/>
          <w:highlight w:val="none"/>
          <w:lang w:eastAsia="zh-CN"/>
        </w:rPr>
        <w:t>重点产业</w:t>
      </w:r>
      <w:r>
        <w:rPr>
          <w:rFonts w:hint="default" w:ascii="Times New Roman" w:hAnsi="Times New Roman" w:eastAsia="仿宋_GB2312" w:cs="Times New Roman"/>
          <w:b w:val="0"/>
          <w:bCs/>
          <w:color w:val="auto"/>
          <w:kern w:val="0"/>
          <w:sz w:val="32"/>
          <w:szCs w:val="32"/>
          <w:highlight w:val="none"/>
        </w:rPr>
        <w:t>开展招大引强行动，主动对接国内优势企业、优质项目，引进一批</w:t>
      </w:r>
      <w:r>
        <w:rPr>
          <w:rFonts w:hint="default" w:ascii="Times New Roman" w:hAnsi="Times New Roman" w:eastAsia="仿宋_GB2312" w:cs="Times New Roman"/>
          <w:b w:val="0"/>
          <w:bCs/>
          <w:color w:val="auto"/>
          <w:kern w:val="2"/>
          <w:sz w:val="32"/>
          <w:szCs w:val="32"/>
          <w:lang w:val="en-US" w:eastAsia="zh-CN" w:bidi="ar-SA"/>
        </w:rPr>
        <w:t>国内外农业龙头企业、关联企业、配套企业和研发机构以及引领性强、带动性大、成长性好、产业链完整的农产品精深加工龙头企业</w:t>
      </w:r>
      <w:r>
        <w:rPr>
          <w:rFonts w:hint="eastAsia" w:eastAsia="仿宋_GB2312" w:cs="Times New Roman"/>
          <w:b w:val="0"/>
          <w:bCs/>
          <w:color w:val="auto"/>
          <w:kern w:val="2"/>
          <w:sz w:val="32"/>
          <w:szCs w:val="32"/>
          <w:lang w:val="en-US" w:eastAsia="zh-CN" w:bidi="ar-SA"/>
        </w:rPr>
        <w:t>，</w:t>
      </w:r>
      <w:r>
        <w:rPr>
          <w:rFonts w:hint="default" w:ascii="Times New Roman" w:hAnsi="Times New Roman" w:eastAsia="仿宋_GB2312" w:cs="Times New Roman"/>
          <w:b w:val="0"/>
          <w:bCs/>
          <w:color w:val="auto"/>
          <w:kern w:val="0"/>
          <w:sz w:val="32"/>
          <w:szCs w:val="32"/>
          <w:highlight w:val="none"/>
        </w:rPr>
        <w:t>引领农产品加工业发展。</w:t>
      </w:r>
    </w:p>
    <w:p>
      <w:pPr>
        <w:pStyle w:val="6"/>
        <w:keepNext w:val="0"/>
        <w:keepLines w:val="0"/>
        <w:pageBreakBefore w:val="0"/>
        <w:widowControl w:val="0"/>
        <w:numPr>
          <w:ilvl w:val="0"/>
          <w:numId w:val="0"/>
        </w:numPr>
        <w:shd w:val="clear" w:color="auto" w:fill="FFFFFF"/>
        <w:kinsoku/>
        <w:wordWrap w:val="0"/>
        <w:overflowPunct/>
        <w:topLinePunct/>
        <w:autoSpaceDE/>
        <w:autoSpaceDN/>
        <w:bidi w:val="0"/>
        <w:adjustRightInd/>
        <w:snapToGrid w:val="0"/>
        <w:spacing w:beforeAutospacing="0" w:afterAutospacing="0" w:line="560" w:lineRule="exact"/>
        <w:ind w:firstLine="640" w:firstLineChars="200"/>
        <w:jc w:val="both"/>
        <w:textAlignment w:val="auto"/>
        <w:rPr>
          <w:rFonts w:hint="default" w:ascii="黑体" w:hAnsi="黑体" w:eastAsia="黑体" w:cs="黑体"/>
          <w:b w:val="0"/>
          <w:bCs/>
          <w:color w:val="auto"/>
          <w:kern w:val="2"/>
          <w:sz w:val="32"/>
          <w:szCs w:val="32"/>
          <w:lang w:val="en-US" w:eastAsia="zh-CN" w:bidi="ar-SA"/>
        </w:rPr>
      </w:pPr>
      <w:r>
        <w:rPr>
          <w:rFonts w:hint="eastAsia" w:ascii="黑体" w:hAnsi="黑体" w:eastAsia="黑体" w:cs="黑体"/>
          <w:b w:val="0"/>
          <w:bCs/>
          <w:color w:val="auto"/>
          <w:kern w:val="2"/>
          <w:sz w:val="32"/>
          <w:szCs w:val="32"/>
          <w:lang w:val="en-US" w:eastAsia="zh-CN" w:bidi="ar-SA"/>
        </w:rPr>
        <w:t>三、强化加工型</w:t>
      </w:r>
      <w:r>
        <w:rPr>
          <w:rFonts w:hint="default" w:ascii="黑体" w:hAnsi="黑体" w:eastAsia="黑体" w:cs="黑体"/>
          <w:b w:val="0"/>
          <w:bCs/>
          <w:color w:val="auto"/>
          <w:kern w:val="2"/>
          <w:sz w:val="32"/>
          <w:szCs w:val="32"/>
          <w:lang w:val="en-US" w:eastAsia="zh-CN" w:bidi="ar-SA"/>
        </w:rPr>
        <w:t>龙头企业</w:t>
      </w:r>
      <w:r>
        <w:rPr>
          <w:rFonts w:hint="eastAsia" w:ascii="黑体" w:hAnsi="黑体" w:eastAsia="黑体" w:cs="黑体"/>
          <w:b w:val="0"/>
          <w:bCs/>
          <w:color w:val="auto"/>
          <w:kern w:val="2"/>
          <w:sz w:val="32"/>
          <w:szCs w:val="32"/>
          <w:lang w:val="en-US" w:eastAsia="zh-CN" w:bidi="ar-SA"/>
        </w:rPr>
        <w:t>培育</w:t>
      </w:r>
      <w:r>
        <w:rPr>
          <w:rFonts w:hint="default" w:ascii="黑体" w:hAnsi="黑体" w:eastAsia="黑体" w:cs="黑体"/>
          <w:b w:val="0"/>
          <w:bCs/>
          <w:color w:val="auto"/>
          <w:kern w:val="2"/>
          <w:sz w:val="32"/>
          <w:szCs w:val="32"/>
          <w:lang w:val="en-US" w:eastAsia="zh-CN" w:bidi="ar-SA"/>
        </w:rPr>
        <w:t>，</w:t>
      </w:r>
      <w:r>
        <w:rPr>
          <w:rFonts w:hint="eastAsia" w:ascii="黑体" w:hAnsi="黑体" w:eastAsia="黑体" w:cs="黑体"/>
          <w:b w:val="0"/>
          <w:bCs/>
          <w:color w:val="auto"/>
          <w:kern w:val="2"/>
          <w:sz w:val="32"/>
          <w:szCs w:val="32"/>
          <w:lang w:val="en-US" w:eastAsia="zh-CN" w:bidi="ar-SA"/>
        </w:rPr>
        <w:t>做大农产品加工产业</w:t>
      </w:r>
    </w:p>
    <w:p>
      <w:pPr>
        <w:pStyle w:val="12"/>
        <w:keepNext w:val="0"/>
        <w:keepLines w:val="0"/>
        <w:pageBreakBefore w:val="0"/>
        <w:widowControl w:val="0"/>
        <w:numPr>
          <w:ilvl w:val="0"/>
          <w:numId w:val="0"/>
        </w:numPr>
        <w:kinsoku/>
        <w:wordWrap w:val="0"/>
        <w:overflowPunct/>
        <w:topLinePunct/>
        <w:autoSpaceDE/>
        <w:autoSpaceDN/>
        <w:bidi w:val="0"/>
        <w:adjustRightInd/>
        <w:snapToGrid w:val="0"/>
        <w:spacing w:beforeAutospacing="0" w:afterAutospacing="0" w:line="560" w:lineRule="exact"/>
        <w:ind w:left="0" w:leftChars="0" w:firstLine="643" w:firstLineChars="200"/>
        <w:jc w:val="both"/>
        <w:textAlignment w:val="auto"/>
        <w:rPr>
          <w:rFonts w:hint="default" w:ascii="仿宋_GB2312" w:hAnsi="仿宋_GB2312" w:eastAsia="仿宋_GB2312" w:cs="仿宋_GB2312"/>
          <w:b w:val="0"/>
          <w:bCs/>
          <w:color w:val="auto"/>
          <w:kern w:val="2"/>
          <w:sz w:val="32"/>
          <w:szCs w:val="32"/>
          <w:lang w:val="en-US" w:eastAsia="zh-CN" w:bidi="ar-SA"/>
        </w:rPr>
      </w:pPr>
      <w:r>
        <w:rPr>
          <w:rFonts w:hint="default" w:ascii="Times New Roman" w:hAnsi="Times New Roman" w:eastAsia="仿宋_GB2312" w:cs="Times New Roman"/>
          <w:b/>
          <w:bCs w:val="0"/>
          <w:color w:val="auto"/>
          <w:kern w:val="0"/>
          <w:sz w:val="32"/>
          <w:szCs w:val="32"/>
          <w:lang w:eastAsia="zh-CN"/>
        </w:rPr>
        <w:t>一是</w:t>
      </w:r>
      <w:r>
        <w:rPr>
          <w:rFonts w:hint="default" w:ascii="Times New Roman" w:hAnsi="Times New Roman" w:eastAsia="仿宋_GB2312" w:cs="Times New Roman"/>
          <w:b w:val="0"/>
          <w:bCs/>
          <w:color w:val="auto"/>
          <w:kern w:val="0"/>
          <w:sz w:val="32"/>
          <w:szCs w:val="32"/>
          <w:lang w:eastAsia="zh-CN"/>
        </w:rPr>
        <w:t>严格按照省委、省政府印发的《全省农产品（食品）深加工高成长企业培育工作方案》精神，全面启动农产品（食品）深加工高成长企业培育工作，推动生态</w:t>
      </w:r>
      <w:r>
        <w:rPr>
          <w:rFonts w:hint="default" w:ascii="Times New Roman" w:hAnsi="Times New Roman" w:eastAsia="仿宋_GB2312" w:cs="Times New Roman"/>
          <w:b w:val="0"/>
          <w:bCs/>
          <w:color w:val="auto"/>
          <w:kern w:val="0"/>
          <w:sz w:val="32"/>
          <w:szCs w:val="32"/>
        </w:rPr>
        <w:t>农产品</w:t>
      </w:r>
      <w:r>
        <w:rPr>
          <w:rFonts w:hint="default" w:ascii="Times New Roman" w:hAnsi="Times New Roman" w:eastAsia="仿宋_GB2312" w:cs="Times New Roman"/>
          <w:b w:val="0"/>
          <w:bCs/>
          <w:color w:val="auto"/>
          <w:kern w:val="0"/>
          <w:sz w:val="32"/>
          <w:szCs w:val="32"/>
          <w:lang w:eastAsia="zh-CN"/>
        </w:rPr>
        <w:t>（食品）从小生产加工向规模化生产拓展转变，带动产业链延伸和价值链提升。</w:t>
      </w:r>
      <w:r>
        <w:rPr>
          <w:rFonts w:hint="eastAsia" w:ascii="Times New Roman" w:hAnsi="Times New Roman" w:eastAsia="仿宋_GB2312" w:cs="Times New Roman"/>
          <w:b/>
          <w:bCs w:val="0"/>
          <w:color w:val="auto"/>
          <w:kern w:val="0"/>
          <w:sz w:val="32"/>
          <w:szCs w:val="32"/>
          <w:lang w:eastAsia="zh-CN"/>
        </w:rPr>
        <w:t>二是</w:t>
      </w:r>
      <w:r>
        <w:rPr>
          <w:rFonts w:hint="default" w:ascii="Times New Roman" w:hAnsi="Times New Roman" w:eastAsia="仿宋_GB2312" w:cs="Times New Roman"/>
          <w:b w:val="0"/>
          <w:bCs/>
          <w:color w:val="auto"/>
          <w:kern w:val="0"/>
          <w:sz w:val="32"/>
          <w:szCs w:val="32"/>
          <w:lang w:eastAsia="zh-CN"/>
        </w:rPr>
        <w:t>尝试培育“农产品加工企业联合体”。利用龙头企业、产地资源、标准、品牌等为平台纽带，以孵化、联合、联盟、竞合等方式，将分散的农产品加工生产组织起来，形成农产品加工企业联合体，实现“小规模、分散化”农产品生产加工主体向规范化、集团化的现代法人体制转变，促进农产品加工向标准化、规模化、品牌化发展。</w:t>
      </w:r>
    </w:p>
    <w:p>
      <w:pPr>
        <w:pStyle w:val="6"/>
        <w:keepNext w:val="0"/>
        <w:keepLines w:val="0"/>
        <w:pageBreakBefore w:val="0"/>
        <w:widowControl w:val="0"/>
        <w:numPr>
          <w:ilvl w:val="0"/>
          <w:numId w:val="0"/>
        </w:numPr>
        <w:shd w:val="clear" w:color="auto" w:fill="FFFFFF"/>
        <w:kinsoku/>
        <w:wordWrap w:val="0"/>
        <w:overflowPunct/>
        <w:topLinePunct/>
        <w:autoSpaceDE/>
        <w:autoSpaceDN/>
        <w:bidi w:val="0"/>
        <w:adjustRightInd/>
        <w:snapToGrid w:val="0"/>
        <w:spacing w:beforeAutospacing="0" w:afterAutospacing="0" w:line="560" w:lineRule="exact"/>
        <w:ind w:firstLine="640" w:firstLineChars="200"/>
        <w:jc w:val="both"/>
        <w:textAlignment w:val="auto"/>
        <w:rPr>
          <w:rFonts w:hint="default" w:ascii="黑体" w:hAnsi="黑体" w:eastAsia="黑体" w:cs="黑体"/>
          <w:b w:val="0"/>
          <w:bCs/>
          <w:color w:val="auto"/>
          <w:kern w:val="2"/>
          <w:sz w:val="32"/>
          <w:szCs w:val="32"/>
          <w:lang w:val="en-US" w:eastAsia="zh-CN" w:bidi="ar-SA"/>
        </w:rPr>
      </w:pPr>
      <w:r>
        <w:rPr>
          <w:rFonts w:hint="eastAsia" w:ascii="黑体" w:hAnsi="黑体" w:eastAsia="黑体" w:cs="黑体"/>
          <w:b w:val="0"/>
          <w:bCs/>
          <w:color w:val="auto"/>
          <w:kern w:val="2"/>
          <w:sz w:val="32"/>
          <w:szCs w:val="32"/>
          <w:lang w:val="en-US" w:eastAsia="zh-CN" w:bidi="ar-SA"/>
        </w:rPr>
        <w:t>四、强化</w:t>
      </w:r>
      <w:r>
        <w:rPr>
          <w:rFonts w:hint="default" w:ascii="黑体" w:hAnsi="黑体" w:eastAsia="黑体" w:cs="黑体"/>
          <w:b w:val="0"/>
          <w:bCs/>
          <w:color w:val="auto"/>
          <w:kern w:val="2"/>
          <w:sz w:val="32"/>
          <w:szCs w:val="32"/>
          <w:lang w:val="en-US" w:eastAsia="zh-CN" w:bidi="ar-SA"/>
        </w:rPr>
        <w:t>品牌创建，提升农产品的知名度和影响力</w:t>
      </w:r>
    </w:p>
    <w:p>
      <w:pPr>
        <w:pStyle w:val="23"/>
        <w:keepNext w:val="0"/>
        <w:keepLines w:val="0"/>
        <w:pageBreakBefore w:val="0"/>
        <w:widowControl w:val="0"/>
        <w:numPr>
          <w:ilvl w:val="0"/>
          <w:numId w:val="0"/>
        </w:numPr>
        <w:kinsoku/>
        <w:wordWrap w:val="0"/>
        <w:overflowPunct/>
        <w:topLinePunct/>
        <w:autoSpaceDE/>
        <w:autoSpaceDN/>
        <w:bidi w:val="0"/>
        <w:adjustRightInd/>
        <w:snapToGrid w:val="0"/>
        <w:spacing w:beforeAutospacing="0" w:after="0" w:afterAutospacing="0" w:line="560" w:lineRule="exact"/>
        <w:ind w:firstLine="643" w:firstLineChars="200"/>
        <w:jc w:val="both"/>
        <w:textAlignment w:val="auto"/>
        <w:rPr>
          <w:rFonts w:hint="default" w:ascii="仿宋_GB2312" w:hAnsi="仿宋_GB2312" w:eastAsia="仿宋_GB2312" w:cs="仿宋_GB2312"/>
          <w:b w:val="0"/>
          <w:bCs/>
          <w:color w:val="auto"/>
          <w:kern w:val="2"/>
          <w:sz w:val="32"/>
          <w:szCs w:val="32"/>
          <w:lang w:val="en-US" w:eastAsia="zh-CN" w:bidi="ar-SA"/>
        </w:rPr>
      </w:pPr>
      <w:r>
        <w:rPr>
          <w:rFonts w:hint="default" w:ascii="Times New Roman" w:hAnsi="Times New Roman" w:eastAsia="仿宋_GB2312" w:cs="Times New Roman"/>
          <w:b/>
          <w:bCs w:val="0"/>
          <w:color w:val="auto"/>
          <w:sz w:val="32"/>
          <w:szCs w:val="32"/>
          <w:lang w:val="en-US" w:eastAsia="zh-CN" w:bidi="ar-SA"/>
        </w:rPr>
        <w:t>一是</w:t>
      </w:r>
      <w:r>
        <w:rPr>
          <w:rFonts w:hint="default" w:ascii="Times New Roman" w:hAnsi="Times New Roman" w:eastAsia="仿宋_GB2312" w:cs="Times New Roman"/>
          <w:b w:val="0"/>
          <w:bCs/>
          <w:color w:val="auto"/>
          <w:sz w:val="32"/>
          <w:szCs w:val="32"/>
          <w:lang w:val="en-US" w:eastAsia="zh-CN" w:bidi="ar-SA"/>
        </w:rPr>
        <w:t>加大“</w:t>
      </w:r>
      <w:r>
        <w:rPr>
          <w:rFonts w:hint="eastAsia" w:ascii="Times New Roman" w:hAnsi="Times New Roman" w:eastAsia="仿宋_GB2312" w:cs="Times New Roman"/>
          <w:b w:val="0"/>
          <w:bCs/>
          <w:color w:val="auto"/>
          <w:sz w:val="32"/>
          <w:szCs w:val="32"/>
          <w:lang w:val="en-US" w:eastAsia="zh-CN" w:bidi="ar-SA"/>
        </w:rPr>
        <w:t>两</w:t>
      </w:r>
      <w:r>
        <w:rPr>
          <w:rFonts w:hint="default" w:ascii="Times New Roman" w:hAnsi="Times New Roman" w:eastAsia="仿宋_GB2312" w:cs="Times New Roman"/>
          <w:b w:val="0"/>
          <w:bCs/>
          <w:color w:val="auto"/>
          <w:sz w:val="32"/>
          <w:szCs w:val="32"/>
          <w:lang w:val="en-US" w:eastAsia="zh-CN" w:bidi="ar-SA"/>
        </w:rPr>
        <w:t>品一标”培育力度，支持农产品经营主体积极开展绿色、有机和地理标志农产品申报认证，实行食用农产品合格证制度，提升农产品质量安全水平和市场竞争力。</w:t>
      </w:r>
      <w:r>
        <w:rPr>
          <w:rFonts w:hint="default" w:ascii="Times New Roman" w:hAnsi="Times New Roman" w:eastAsia="仿宋_GB2312" w:cs="Times New Roman"/>
          <w:b/>
          <w:bCs w:val="0"/>
          <w:color w:val="auto"/>
          <w:sz w:val="32"/>
          <w:szCs w:val="32"/>
          <w:lang w:val="en-US" w:eastAsia="zh-CN" w:bidi="ar-SA"/>
        </w:rPr>
        <w:t>二</w:t>
      </w:r>
      <w:r>
        <w:rPr>
          <w:rFonts w:hint="default" w:ascii="Times New Roman" w:hAnsi="Times New Roman" w:eastAsia="仿宋_GB2312" w:cs="Times New Roman"/>
          <w:b/>
          <w:bCs w:val="0"/>
          <w:color w:val="auto"/>
          <w:sz w:val="32"/>
          <w:szCs w:val="32"/>
          <w:lang w:val="en-US" w:bidi="zh-CN"/>
        </w:rPr>
        <w:t>是</w:t>
      </w:r>
      <w:r>
        <w:rPr>
          <w:rFonts w:hint="default" w:ascii="Times New Roman" w:hAnsi="Times New Roman" w:eastAsia="仿宋_GB2312" w:cs="Times New Roman"/>
          <w:b w:val="0"/>
          <w:bCs/>
          <w:color w:val="auto"/>
          <w:sz w:val="32"/>
          <w:szCs w:val="32"/>
          <w:lang w:val="en-US" w:bidi="zh-CN"/>
        </w:rPr>
        <w:t>加大品牌创建力度。</w:t>
      </w:r>
      <w:r>
        <w:rPr>
          <w:rFonts w:hint="default" w:ascii="Times New Roman" w:hAnsi="Times New Roman" w:eastAsia="仿宋_GB2312" w:cs="Times New Roman"/>
          <w:b w:val="0"/>
          <w:bCs/>
          <w:color w:val="auto"/>
          <w:sz w:val="32"/>
          <w:szCs w:val="32"/>
          <w:lang w:eastAsia="zh-CN"/>
        </w:rPr>
        <w:t>抓</w:t>
      </w:r>
      <w:r>
        <w:rPr>
          <w:rFonts w:hint="default" w:ascii="Times New Roman" w:hAnsi="Times New Roman" w:eastAsia="仿宋_GB2312" w:cs="Times New Roman"/>
          <w:b w:val="0"/>
          <w:bCs/>
          <w:color w:val="auto"/>
          <w:sz w:val="32"/>
          <w:szCs w:val="32"/>
        </w:rPr>
        <w:t>好品牌集中培育</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支持龙头企业创立企业商标品牌</w:t>
      </w:r>
      <w:r>
        <w:rPr>
          <w:rFonts w:hint="default" w:ascii="Times New Roman" w:hAnsi="Times New Roman" w:eastAsia="仿宋_GB2312" w:cs="Times New Roman"/>
          <w:b w:val="0"/>
          <w:bCs/>
          <w:color w:val="auto"/>
          <w:sz w:val="32"/>
          <w:szCs w:val="32"/>
          <w:highlight w:val="none"/>
          <w:lang w:eastAsia="zh-CN"/>
        </w:rPr>
        <w:t>，</w:t>
      </w:r>
      <w:r>
        <w:rPr>
          <w:rFonts w:hint="default" w:ascii="Times New Roman" w:hAnsi="Times New Roman" w:eastAsia="仿宋_GB2312" w:cs="Times New Roman"/>
          <w:b w:val="0"/>
          <w:bCs/>
          <w:color w:val="auto"/>
          <w:sz w:val="32"/>
          <w:szCs w:val="32"/>
          <w:highlight w:val="none"/>
        </w:rPr>
        <w:t>培育壮大一批市场信誉度高、影响力大的企业品牌和产品品牌</w:t>
      </w:r>
      <w:r>
        <w:rPr>
          <w:rFonts w:hint="default" w:ascii="Times New Roman" w:hAnsi="Times New Roman" w:eastAsia="仿宋_GB2312" w:cs="Times New Roman"/>
          <w:b w:val="0"/>
          <w:bCs/>
          <w:color w:val="auto"/>
          <w:sz w:val="32"/>
          <w:szCs w:val="32"/>
          <w:highlight w:val="none"/>
          <w:lang w:eastAsia="zh-CN"/>
        </w:rPr>
        <w:t>。</w:t>
      </w:r>
      <w:r>
        <w:rPr>
          <w:rFonts w:hint="default" w:ascii="Times New Roman" w:hAnsi="Times New Roman" w:eastAsia="仿宋_GB2312" w:cs="Times New Roman"/>
          <w:b/>
          <w:bCs w:val="0"/>
          <w:color w:val="auto"/>
          <w:sz w:val="32"/>
          <w:szCs w:val="32"/>
          <w:lang w:val="en-US" w:eastAsia="zh-CN" w:bidi="ar-SA"/>
        </w:rPr>
        <w:t>三是</w:t>
      </w:r>
      <w:r>
        <w:rPr>
          <w:rFonts w:hint="default" w:ascii="Times New Roman" w:hAnsi="Times New Roman" w:eastAsia="仿宋_GB2312" w:cs="Times New Roman"/>
          <w:b w:val="0"/>
          <w:bCs/>
          <w:color w:val="auto"/>
          <w:sz w:val="32"/>
          <w:szCs w:val="32"/>
          <w:lang w:val="en-US" w:eastAsia="zh-CN" w:bidi="ar-SA"/>
        </w:rPr>
        <w:t>加大品牌整合</w:t>
      </w:r>
      <w:r>
        <w:rPr>
          <w:rFonts w:hint="eastAsia" w:ascii="Times New Roman" w:hAnsi="Times New Roman" w:eastAsia="仿宋_GB2312" w:cs="Times New Roman"/>
          <w:b w:val="0"/>
          <w:bCs/>
          <w:color w:val="auto"/>
          <w:sz w:val="32"/>
          <w:szCs w:val="32"/>
          <w:lang w:val="en-US" w:eastAsia="zh-CN" w:bidi="ar-SA"/>
        </w:rPr>
        <w:t>宣传</w:t>
      </w:r>
      <w:r>
        <w:rPr>
          <w:rFonts w:hint="default" w:ascii="Times New Roman" w:hAnsi="Times New Roman" w:eastAsia="仿宋_GB2312" w:cs="Times New Roman"/>
          <w:b w:val="0"/>
          <w:bCs/>
          <w:color w:val="auto"/>
          <w:sz w:val="32"/>
          <w:szCs w:val="32"/>
          <w:lang w:val="en-US" w:eastAsia="zh-CN" w:bidi="ar-SA"/>
        </w:rPr>
        <w:t>力度。</w:t>
      </w:r>
      <w:r>
        <w:rPr>
          <w:rFonts w:hint="default" w:ascii="Times New Roman" w:hAnsi="Times New Roman" w:eastAsia="仿宋_GB2312" w:cs="Times New Roman"/>
          <w:b w:val="0"/>
          <w:bCs/>
          <w:color w:val="auto"/>
          <w:sz w:val="32"/>
          <w:szCs w:val="32"/>
          <w:lang w:eastAsia="zh-CN"/>
        </w:rPr>
        <w:t>推动农产品加工“区域品牌、企业品牌、产品品牌”互融互促、协同发展，</w:t>
      </w:r>
      <w:r>
        <w:rPr>
          <w:rFonts w:hint="default" w:ascii="Times New Roman" w:hAnsi="Times New Roman" w:eastAsia="仿宋_GB2312" w:cs="Times New Roman"/>
          <w:b w:val="0"/>
          <w:bCs/>
          <w:color w:val="auto"/>
          <w:sz w:val="32"/>
          <w:szCs w:val="32"/>
          <w:lang w:val="en-US" w:eastAsia="zh-CN" w:bidi="ar-SA"/>
        </w:rPr>
        <w:t>加大</w:t>
      </w:r>
      <w:r>
        <w:rPr>
          <w:rFonts w:hint="eastAsia" w:ascii="Times New Roman" w:hAnsi="Times New Roman" w:eastAsia="仿宋_GB2312" w:cs="Times New Roman"/>
          <w:b w:val="0"/>
          <w:bCs/>
          <w:color w:val="auto"/>
          <w:sz w:val="32"/>
          <w:szCs w:val="32"/>
          <w:lang w:val="en-US" w:eastAsia="zh-CN" w:bidi="ar-SA"/>
        </w:rPr>
        <w:t>品牌</w:t>
      </w:r>
      <w:r>
        <w:rPr>
          <w:rFonts w:hint="default" w:ascii="Times New Roman" w:hAnsi="Times New Roman" w:eastAsia="仿宋_GB2312" w:cs="Times New Roman"/>
          <w:b w:val="0"/>
          <w:bCs/>
          <w:color w:val="auto"/>
          <w:sz w:val="32"/>
          <w:szCs w:val="32"/>
          <w:lang w:val="en-US" w:eastAsia="zh-CN" w:bidi="ar-SA"/>
        </w:rPr>
        <w:t>在主要媒体、目标市场、重点区域的广</w:t>
      </w:r>
      <w:r>
        <w:rPr>
          <w:rFonts w:hint="default" w:ascii="Times New Roman" w:hAnsi="Times New Roman" w:eastAsia="仿宋_GB2312" w:cs="Times New Roman"/>
          <w:b w:val="0"/>
          <w:bCs/>
          <w:color w:val="auto"/>
          <w:sz w:val="32"/>
          <w:szCs w:val="32"/>
        </w:rPr>
        <w:t>告宣传力度</w:t>
      </w:r>
      <w:r>
        <w:rPr>
          <w:rFonts w:hint="eastAsia"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lang w:eastAsia="zh-CN"/>
        </w:rPr>
        <w:t>大力发展“互联网”农业，完善“农超对接”等新型合作方式，</w:t>
      </w:r>
      <w:r>
        <w:rPr>
          <w:rFonts w:hint="default" w:ascii="Times New Roman" w:hAnsi="Times New Roman" w:eastAsia="仿宋_GB2312" w:cs="Times New Roman"/>
          <w:b w:val="0"/>
          <w:bCs/>
          <w:color w:val="auto"/>
          <w:sz w:val="32"/>
          <w:szCs w:val="32"/>
        </w:rPr>
        <w:t>充分利用农交会</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茶博会、辣博会、农民丰收节等平台</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多层次、多视角宣传推广优质特色农产品。</w:t>
      </w:r>
    </w:p>
    <w:p>
      <w:pPr>
        <w:pStyle w:val="6"/>
        <w:keepNext w:val="0"/>
        <w:keepLines w:val="0"/>
        <w:pageBreakBefore w:val="0"/>
        <w:widowControl w:val="0"/>
        <w:numPr>
          <w:ilvl w:val="0"/>
          <w:numId w:val="0"/>
        </w:numPr>
        <w:shd w:val="clear" w:color="auto" w:fill="FFFFFF"/>
        <w:kinsoku/>
        <w:wordWrap w:val="0"/>
        <w:overflowPunct/>
        <w:topLinePunct/>
        <w:autoSpaceDE/>
        <w:autoSpaceDN/>
        <w:bidi w:val="0"/>
        <w:adjustRightInd/>
        <w:snapToGrid w:val="0"/>
        <w:spacing w:beforeAutospacing="0" w:afterAutospacing="0" w:line="560" w:lineRule="exact"/>
        <w:ind w:firstLine="640" w:firstLineChars="200"/>
        <w:jc w:val="both"/>
        <w:textAlignment w:val="auto"/>
        <w:rPr>
          <w:rFonts w:hint="default" w:ascii="黑体" w:hAnsi="黑体" w:eastAsia="黑体" w:cs="黑体"/>
          <w:b w:val="0"/>
          <w:bCs/>
          <w:color w:val="auto"/>
          <w:kern w:val="2"/>
          <w:sz w:val="32"/>
          <w:szCs w:val="32"/>
          <w:lang w:val="en-US" w:eastAsia="zh-CN" w:bidi="ar-SA"/>
        </w:rPr>
      </w:pPr>
      <w:r>
        <w:rPr>
          <w:rFonts w:hint="eastAsia" w:ascii="黑体" w:hAnsi="黑体" w:eastAsia="黑体" w:cs="黑体"/>
          <w:b w:val="0"/>
          <w:bCs/>
          <w:color w:val="auto"/>
          <w:kern w:val="2"/>
          <w:sz w:val="32"/>
          <w:szCs w:val="32"/>
          <w:lang w:val="en-US" w:eastAsia="zh-CN" w:bidi="ar-SA"/>
        </w:rPr>
        <w:t>五、</w:t>
      </w:r>
      <w:r>
        <w:rPr>
          <w:rFonts w:hint="default" w:ascii="黑体" w:hAnsi="黑体" w:eastAsia="黑体" w:cs="黑体"/>
          <w:b w:val="0"/>
          <w:bCs/>
          <w:color w:val="auto"/>
          <w:kern w:val="2"/>
          <w:sz w:val="32"/>
          <w:szCs w:val="32"/>
          <w:lang w:val="en-US" w:eastAsia="zh-CN" w:bidi="ar-SA"/>
        </w:rPr>
        <w:t>强化政策扶持，着力优化农产品加工业发展环境</w:t>
      </w:r>
    </w:p>
    <w:p>
      <w:pPr>
        <w:keepNext w:val="0"/>
        <w:keepLines w:val="0"/>
        <w:pageBreakBefore w:val="0"/>
        <w:widowControl w:val="0"/>
        <w:kinsoku/>
        <w:wordWrap/>
        <w:overflowPunct/>
        <w:topLinePunct w:val="0"/>
        <w:autoSpaceDE/>
        <w:autoSpaceDN/>
        <w:bidi w:val="0"/>
        <w:adjustRightInd/>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b w:val="0"/>
          <w:bCs/>
          <w:color w:val="auto"/>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在财税政策方面，研究制定农产品加工企业激励机制，在一定范围内对企业实施</w:t>
      </w:r>
      <w:r>
        <w:rPr>
          <w:rFonts w:hint="default" w:ascii="Times New Roman" w:hAnsi="Times New Roman" w:eastAsia="仿宋_GB2312" w:cs="Times New Roman"/>
          <w:b w:val="0"/>
          <w:bCs/>
          <w:color w:val="auto"/>
          <w:sz w:val="32"/>
          <w:szCs w:val="32"/>
          <w:lang w:val="en-US" w:eastAsia="zh-CN"/>
        </w:rPr>
        <w:t>税收减免政策，增加企业的现金流动量。在投资政策方面，建议设立</w:t>
      </w:r>
      <w:r>
        <w:rPr>
          <w:rFonts w:hint="eastAsia" w:eastAsia="仿宋_GB2312" w:cs="Times New Roman"/>
          <w:b w:val="0"/>
          <w:bCs/>
          <w:color w:val="auto"/>
          <w:kern w:val="2"/>
          <w:sz w:val="32"/>
          <w:szCs w:val="32"/>
          <w:lang w:val="en-US" w:eastAsia="zh-CN"/>
        </w:rPr>
        <w:t>州</w:t>
      </w:r>
      <w:r>
        <w:rPr>
          <w:rFonts w:hint="default" w:ascii="Times New Roman" w:hAnsi="Times New Roman" w:eastAsia="仿宋_GB2312" w:cs="Times New Roman"/>
          <w:b w:val="0"/>
          <w:bCs/>
          <w:color w:val="auto"/>
          <w:sz w:val="32"/>
          <w:szCs w:val="32"/>
          <w:lang w:val="en-US" w:eastAsia="zh-CN"/>
        </w:rPr>
        <w:t>级农产品加工业发展专项基金并列入财政预算安排，专门用于培育和引导农产品加工产业发展。</w:t>
      </w:r>
      <w:r>
        <w:rPr>
          <w:rFonts w:hint="default" w:ascii="Times New Roman" w:hAnsi="Times New Roman" w:eastAsia="仿宋_GB2312" w:cs="Times New Roman"/>
          <w:b w:val="0"/>
          <w:bCs/>
          <w:color w:val="auto"/>
          <w:sz w:val="32"/>
          <w:szCs w:val="32"/>
          <w:lang w:val="en-US" w:eastAsia="zh-CN" w:bidi="ar-SA"/>
        </w:rPr>
        <w:t>在信贷政策方面，加强银企合作，适当安排专项资金用于扶持农产品加工企业，给予农产品加工企业优惠贷款，简化抵押、担保手续，降低评估费用，扩大授信额度。同时，</w:t>
      </w:r>
      <w:r>
        <w:rPr>
          <w:rFonts w:hint="eastAsia" w:ascii="仿宋_GB2312" w:hAnsi="仿宋_GB2312" w:eastAsia="仿宋_GB2312" w:cs="仿宋_GB2312"/>
          <w:b w:val="0"/>
          <w:bCs/>
          <w:color w:val="auto"/>
          <w:kern w:val="2"/>
          <w:sz w:val="32"/>
          <w:szCs w:val="32"/>
          <w:lang w:val="en-US" w:eastAsia="zh-CN" w:bidi="ar-SA"/>
        </w:rPr>
        <w:t>农业、工信、商务部门要会同财政等部门，支持和鼓励符合条件的农产品加工企业积极申请有关支农资金和工业（农业）产业化基金，支持农产品加工原料基地、公共设施、物流配送体系建设和技术改造</w:t>
      </w:r>
      <w:r>
        <w:rPr>
          <w:rFonts w:hint="default" w:ascii="Times New Roman" w:hAnsi="Times New Roman" w:eastAsia="仿宋_GB2312" w:cs="Times New Roman"/>
          <w:b w:val="0"/>
          <w:bCs/>
          <w:color w:val="auto"/>
          <w:sz w:val="32"/>
          <w:szCs w:val="32"/>
          <w:lang w:val="en-US" w:eastAsia="zh-CN" w:bidi="ar-SA"/>
        </w:rPr>
        <w:t>。</w:t>
      </w:r>
    </w:p>
    <w:p>
      <w:pPr>
        <w:pStyle w:val="6"/>
        <w:keepNext w:val="0"/>
        <w:keepLines w:val="0"/>
        <w:pageBreakBefore w:val="0"/>
        <w:widowControl w:val="0"/>
        <w:numPr>
          <w:ilvl w:val="0"/>
          <w:numId w:val="0"/>
        </w:numPr>
        <w:shd w:val="clear" w:color="auto" w:fill="FFFFFF"/>
        <w:kinsoku/>
        <w:wordWrap w:val="0"/>
        <w:overflowPunct/>
        <w:topLinePunct/>
        <w:autoSpaceDE/>
        <w:autoSpaceDN/>
        <w:bidi w:val="0"/>
        <w:adjustRightInd/>
        <w:snapToGrid w:val="0"/>
        <w:spacing w:beforeAutospacing="0" w:afterAutospacing="0" w:line="560" w:lineRule="exact"/>
        <w:ind w:firstLine="640" w:firstLineChars="200"/>
        <w:jc w:val="both"/>
        <w:textAlignment w:val="auto"/>
        <w:rPr>
          <w:rFonts w:hint="eastAsia" w:ascii="黑体" w:hAnsi="黑体" w:eastAsia="黑体" w:cs="黑体"/>
          <w:b w:val="0"/>
          <w:bCs/>
          <w:color w:val="auto"/>
          <w:kern w:val="2"/>
          <w:sz w:val="32"/>
          <w:szCs w:val="32"/>
          <w:lang w:val="en-US" w:eastAsia="zh-CN" w:bidi="ar-SA"/>
        </w:rPr>
      </w:pPr>
      <w:r>
        <w:rPr>
          <w:rFonts w:hint="eastAsia" w:ascii="黑体" w:hAnsi="黑体" w:eastAsia="黑体" w:cs="黑体"/>
          <w:b w:val="0"/>
          <w:bCs/>
          <w:color w:val="auto"/>
          <w:kern w:val="2"/>
          <w:sz w:val="32"/>
          <w:szCs w:val="32"/>
          <w:lang w:val="en-US" w:eastAsia="zh-CN" w:bidi="ar-SA"/>
        </w:rPr>
        <w:t>六、强化考核机制，提高农产品加工转化率</w:t>
      </w:r>
    </w:p>
    <w:p>
      <w:pPr>
        <w:pStyle w:val="6"/>
        <w:keepNext w:val="0"/>
        <w:keepLines w:val="0"/>
        <w:pageBreakBefore w:val="0"/>
        <w:widowControl w:val="0"/>
        <w:numPr>
          <w:ilvl w:val="0"/>
          <w:numId w:val="0"/>
        </w:numPr>
        <w:shd w:val="clear" w:color="auto" w:fill="FFFFFF"/>
        <w:kinsoku/>
        <w:wordWrap w:val="0"/>
        <w:overflowPunct/>
        <w:topLinePunct/>
        <w:autoSpaceDE/>
        <w:autoSpaceDN/>
        <w:bidi w:val="0"/>
        <w:adjustRightInd/>
        <w:snapToGrid w:val="0"/>
        <w:spacing w:beforeAutospacing="0" w:afterAutospacing="0" w:line="560" w:lineRule="exact"/>
        <w:ind w:firstLine="640" w:firstLineChars="200"/>
        <w:jc w:val="both"/>
        <w:textAlignment w:val="auto"/>
        <w:rPr>
          <w:rFonts w:hint="default" w:ascii="Times New Roman" w:hAnsi="Times New Roman" w:eastAsia="仿宋_GB2312" w:cs="Times New Roman"/>
          <w:b w:val="0"/>
          <w:bCs/>
          <w:color w:val="auto"/>
          <w:kern w:val="2"/>
          <w:sz w:val="32"/>
          <w:szCs w:val="32"/>
        </w:rPr>
      </w:pPr>
      <w:r>
        <w:rPr>
          <w:rFonts w:hint="default" w:ascii="Times New Roman" w:hAnsi="Times New Roman" w:eastAsia="仿宋_GB2312" w:cs="Times New Roman"/>
          <w:b w:val="0"/>
          <w:bCs/>
          <w:color w:val="auto"/>
          <w:kern w:val="2"/>
          <w:sz w:val="32"/>
          <w:szCs w:val="32"/>
          <w:lang w:val="en-US" w:eastAsia="zh-CN"/>
        </w:rPr>
        <w:t>建议进一步健全</w:t>
      </w:r>
      <w:r>
        <w:rPr>
          <w:rFonts w:hint="eastAsia" w:eastAsia="仿宋_GB2312" w:cs="Times New Roman"/>
          <w:b w:val="0"/>
          <w:bCs/>
          <w:color w:val="auto"/>
          <w:kern w:val="2"/>
          <w:sz w:val="32"/>
          <w:szCs w:val="32"/>
          <w:lang w:val="en-US" w:eastAsia="zh-CN"/>
        </w:rPr>
        <w:t>州</w:t>
      </w:r>
      <w:r>
        <w:rPr>
          <w:rFonts w:hint="default" w:ascii="Times New Roman" w:hAnsi="Times New Roman" w:eastAsia="仿宋_GB2312" w:cs="Times New Roman"/>
          <w:b w:val="0"/>
          <w:bCs/>
          <w:color w:val="auto"/>
          <w:kern w:val="2"/>
          <w:sz w:val="32"/>
          <w:szCs w:val="32"/>
          <w:lang w:val="en-US" w:eastAsia="zh-CN"/>
        </w:rPr>
        <w:t>、县两级领导联系重点农业龙头企业制度，加强对农产品加工业的指导和服务</w:t>
      </w:r>
      <w:r>
        <w:rPr>
          <w:rFonts w:hint="eastAsia" w:eastAsia="仿宋_GB2312" w:cs="Times New Roman"/>
          <w:b w:val="0"/>
          <w:bCs/>
          <w:color w:val="auto"/>
          <w:kern w:val="2"/>
          <w:sz w:val="32"/>
          <w:szCs w:val="32"/>
          <w:lang w:val="en-US" w:eastAsia="zh-CN"/>
        </w:rPr>
        <w:t>。</w:t>
      </w:r>
      <w:r>
        <w:rPr>
          <w:rFonts w:hint="default" w:ascii="Times New Roman" w:hAnsi="Times New Roman" w:eastAsia="仿宋_GB2312" w:cs="Times New Roman"/>
          <w:b w:val="0"/>
          <w:bCs/>
          <w:color w:val="auto"/>
          <w:kern w:val="2"/>
          <w:sz w:val="32"/>
          <w:szCs w:val="32"/>
          <w:lang w:val="en-US" w:eastAsia="zh-CN"/>
        </w:rPr>
        <w:t>成立</w:t>
      </w:r>
      <w:r>
        <w:rPr>
          <w:rFonts w:hint="eastAsia" w:eastAsia="仿宋_GB2312" w:cs="Times New Roman"/>
          <w:b w:val="0"/>
          <w:bCs/>
          <w:color w:val="auto"/>
          <w:kern w:val="2"/>
          <w:sz w:val="32"/>
          <w:szCs w:val="32"/>
          <w:lang w:val="en-US" w:eastAsia="zh-CN"/>
        </w:rPr>
        <w:t>州</w:t>
      </w:r>
      <w:r>
        <w:rPr>
          <w:rFonts w:hint="default" w:ascii="Times New Roman" w:hAnsi="Times New Roman" w:eastAsia="仿宋_GB2312" w:cs="Times New Roman"/>
          <w:b w:val="0"/>
          <w:bCs/>
          <w:color w:val="auto"/>
          <w:kern w:val="2"/>
          <w:sz w:val="32"/>
          <w:szCs w:val="32"/>
          <w:lang w:val="en-US" w:eastAsia="zh-CN"/>
        </w:rPr>
        <w:t>级工作专班，市场监管、农业农村、工信商务等部门要进一步加强沟通协调，及时通报了解企业在落地生产、基地建设、商标注册、品牌创建、产地产品认证、产品销售等方面存在的困难和问题，并积极主动帮助协调解</w:t>
      </w:r>
      <w:r>
        <w:rPr>
          <w:rFonts w:hint="eastAsia" w:eastAsia="仿宋_GB2312" w:cs="Times New Roman"/>
          <w:b w:val="0"/>
          <w:bCs/>
          <w:color w:val="auto"/>
          <w:kern w:val="2"/>
          <w:sz w:val="32"/>
          <w:szCs w:val="32"/>
          <w:lang w:val="en-US" w:eastAsia="zh-CN"/>
        </w:rPr>
        <w:t>决</w:t>
      </w:r>
      <w:r>
        <w:rPr>
          <w:rFonts w:hint="default" w:ascii="Times New Roman" w:hAnsi="Times New Roman" w:eastAsia="仿宋_GB2312" w:cs="Times New Roman"/>
          <w:b w:val="0"/>
          <w:bCs/>
          <w:color w:val="auto"/>
          <w:kern w:val="2"/>
          <w:sz w:val="32"/>
          <w:szCs w:val="32"/>
          <w:lang w:val="en-US" w:eastAsia="zh-CN"/>
        </w:rPr>
        <w:t>。同时，建立健全农产品加工业工作机制和考核体系，确保各项工作落到实处，稳步提高农产品加工转化率，推进农业高质量发展。</w:t>
      </w:r>
    </w:p>
    <w:p>
      <w:pPr>
        <w:pStyle w:val="5"/>
        <w:keepNext w:val="0"/>
        <w:keepLines w:val="0"/>
        <w:pageBreakBefore w:val="0"/>
        <w:widowControl w:val="0"/>
        <w:numPr>
          <w:ilvl w:val="0"/>
          <w:numId w:val="0"/>
        </w:numPr>
        <w:kinsoku/>
        <w:wordWrap w:val="0"/>
        <w:overflowPunct/>
        <w:topLinePunct/>
        <w:autoSpaceDE/>
        <w:autoSpaceDN/>
        <w:bidi w:val="0"/>
        <w:adjustRightInd/>
        <w:snapToGrid/>
        <w:spacing w:beforeAutospacing="0" w:after="0" w:afterAutospacing="0" w:line="560" w:lineRule="exact"/>
        <w:jc w:val="both"/>
        <w:textAlignment w:val="auto"/>
        <w:rPr>
          <w:rFonts w:hint="default" w:ascii="Times New Roman" w:hAnsi="Times New Roman" w:eastAsia="仿宋_GB2312" w:cs="Times New Roman"/>
          <w:b w:val="0"/>
          <w:bCs/>
          <w:color w:val="auto"/>
          <w:kern w:val="0"/>
          <w:sz w:val="32"/>
          <w:szCs w:val="32"/>
          <w:lang w:val="en-US" w:eastAsia="zh-CN"/>
        </w:rPr>
      </w:pPr>
    </w:p>
    <w:p>
      <w:pPr>
        <w:keepNext w:val="0"/>
        <w:keepLines w:val="0"/>
        <w:pageBreakBefore w:val="0"/>
        <w:kinsoku/>
        <w:overflowPunct/>
        <w:autoSpaceDE/>
        <w:autoSpaceDN/>
        <w:bidi w:val="0"/>
        <w:adjustRightInd/>
        <w:spacing w:beforeAutospacing="0" w:afterAutospacing="0" w:line="560" w:lineRule="exact"/>
        <w:ind w:firstLine="643" w:firstLineChars="200"/>
        <w:rPr>
          <w:rStyle w:val="11"/>
          <w:rFonts w:hint="eastAsia" w:ascii="仿宋" w:hAnsi="仿宋" w:eastAsia="仿宋" w:cs="仿宋"/>
          <w:kern w:val="0"/>
          <w:sz w:val="32"/>
          <w:szCs w:val="32"/>
          <w:lang w:val="en-US" w:eastAsia="zh-CN"/>
        </w:rPr>
      </w:pPr>
      <w:r>
        <w:rPr>
          <w:rStyle w:val="11"/>
          <w:rFonts w:hint="eastAsia" w:ascii="黑体" w:hAnsi="黑体" w:eastAsia="黑体" w:cs="黑体"/>
          <w:b/>
          <w:bCs/>
          <w:kern w:val="0"/>
          <w:sz w:val="32"/>
          <w:szCs w:val="32"/>
          <w:lang w:val="en-US" w:eastAsia="zh-CN"/>
        </w:rPr>
        <w:t>注：</w:t>
      </w:r>
      <w:r>
        <w:rPr>
          <w:rStyle w:val="11"/>
          <w:rFonts w:hint="eastAsia" w:ascii="仿宋" w:hAnsi="仿宋" w:eastAsia="仿宋" w:cs="仿宋"/>
          <w:kern w:val="0"/>
          <w:sz w:val="32"/>
          <w:szCs w:val="32"/>
          <w:lang w:val="en-US" w:eastAsia="zh-CN"/>
        </w:rPr>
        <w:t>1、提案会办单位需将会办意见送主办单位，由主办单位连同《提案答复件》、《征询意见表》一并抄送州政协；（涉及目标考核）</w:t>
      </w:r>
    </w:p>
    <w:p>
      <w:pPr>
        <w:keepNext w:val="0"/>
        <w:keepLines w:val="0"/>
        <w:pageBreakBefore w:val="0"/>
        <w:kinsoku/>
        <w:overflowPunct/>
        <w:autoSpaceDE/>
        <w:autoSpaceDN/>
        <w:bidi w:val="0"/>
        <w:adjustRightInd/>
        <w:spacing w:beforeAutospacing="0" w:afterAutospacing="0" w:line="560" w:lineRule="exact"/>
        <w:ind w:firstLine="1280" w:firstLineChars="400"/>
        <w:rPr>
          <w:rStyle w:val="11"/>
          <w:rFonts w:hint="default" w:ascii="仿宋" w:hAnsi="仿宋" w:eastAsia="仿宋" w:cs="仿宋"/>
          <w:kern w:val="0"/>
          <w:sz w:val="32"/>
          <w:szCs w:val="32"/>
          <w:lang w:val="en-US" w:eastAsia="zh-CN"/>
        </w:rPr>
      </w:pPr>
      <w:r>
        <w:rPr>
          <w:rStyle w:val="11"/>
          <w:rFonts w:hint="eastAsia" w:ascii="仿宋" w:hAnsi="仿宋" w:eastAsia="仿宋" w:cs="仿宋"/>
          <w:kern w:val="0"/>
          <w:sz w:val="32"/>
          <w:szCs w:val="32"/>
          <w:lang w:val="en-US" w:eastAsia="zh-CN"/>
        </w:rPr>
        <w:t>2、州政协联系方式：州政协办402室、传真8428882，协同账号：州政协办公室收发员（备注：XXX号提案答复件）。</w:t>
      </w:r>
    </w:p>
    <w:sectPr>
      <w:headerReference r:id="rId3" w:type="default"/>
      <w:footerReference r:id="rId4"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98941"/>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Style w:val="1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11"/>
    <w:rsid w:val="00062089"/>
    <w:rsid w:val="002F6404"/>
    <w:rsid w:val="00372D70"/>
    <w:rsid w:val="004D0222"/>
    <w:rsid w:val="004E6BC5"/>
    <w:rsid w:val="00507FB8"/>
    <w:rsid w:val="00551F39"/>
    <w:rsid w:val="00554776"/>
    <w:rsid w:val="00654375"/>
    <w:rsid w:val="007055DB"/>
    <w:rsid w:val="007D1DFD"/>
    <w:rsid w:val="00840276"/>
    <w:rsid w:val="008A6967"/>
    <w:rsid w:val="008E32D7"/>
    <w:rsid w:val="008E5289"/>
    <w:rsid w:val="00A351EC"/>
    <w:rsid w:val="00A75BD7"/>
    <w:rsid w:val="00A94399"/>
    <w:rsid w:val="00A97C93"/>
    <w:rsid w:val="00C76ECC"/>
    <w:rsid w:val="00D123BF"/>
    <w:rsid w:val="00DD129A"/>
    <w:rsid w:val="00EA1493"/>
    <w:rsid w:val="00FB6911"/>
    <w:rsid w:val="00FF3F01"/>
    <w:rsid w:val="06503351"/>
    <w:rsid w:val="07D26AFC"/>
    <w:rsid w:val="08B66956"/>
    <w:rsid w:val="10B40BCC"/>
    <w:rsid w:val="118823F2"/>
    <w:rsid w:val="18EC1E64"/>
    <w:rsid w:val="1BAB45FA"/>
    <w:rsid w:val="20E366FE"/>
    <w:rsid w:val="21EA0B57"/>
    <w:rsid w:val="23370767"/>
    <w:rsid w:val="29EB237C"/>
    <w:rsid w:val="2FD84B80"/>
    <w:rsid w:val="30B878C9"/>
    <w:rsid w:val="32794BB9"/>
    <w:rsid w:val="33552650"/>
    <w:rsid w:val="36C767E4"/>
    <w:rsid w:val="377737A4"/>
    <w:rsid w:val="38D60616"/>
    <w:rsid w:val="3A7B4D73"/>
    <w:rsid w:val="3F1A5C90"/>
    <w:rsid w:val="42F10C9F"/>
    <w:rsid w:val="493508EE"/>
    <w:rsid w:val="497C7186"/>
    <w:rsid w:val="4A196944"/>
    <w:rsid w:val="4F1E6C2C"/>
    <w:rsid w:val="4F6B5D70"/>
    <w:rsid w:val="507F065A"/>
    <w:rsid w:val="5236789E"/>
    <w:rsid w:val="559F1A55"/>
    <w:rsid w:val="5A7C34BF"/>
    <w:rsid w:val="5AA17385"/>
    <w:rsid w:val="5B7C24C8"/>
    <w:rsid w:val="61895CCF"/>
    <w:rsid w:val="61A134C4"/>
    <w:rsid w:val="66F35DD9"/>
    <w:rsid w:val="6854075C"/>
    <w:rsid w:val="69A37ABB"/>
    <w:rsid w:val="6A644AE2"/>
    <w:rsid w:val="74B97E6B"/>
    <w:rsid w:val="75620F70"/>
    <w:rsid w:val="7C1F06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rPr>
      <w:szCs w:val="20"/>
    </w:rPr>
  </w:style>
  <w:style w:type="paragraph" w:styleId="3">
    <w:name w:val="footer"/>
    <w:basedOn w:val="1"/>
    <w:link w:val="22"/>
    <w:qFormat/>
    <w:uiPriority w:val="99"/>
    <w:pPr>
      <w:snapToGrid w:val="0"/>
      <w:jc w:val="left"/>
    </w:pPr>
    <w:rPr>
      <w:sz w:val="18"/>
      <w:szCs w:val="18"/>
    </w:rPr>
  </w:style>
  <w:style w:type="paragraph" w:styleId="4">
    <w:name w:val="header"/>
    <w:basedOn w:val="1"/>
    <w:qFormat/>
    <w:uiPriority w:val="0"/>
    <w:pPr>
      <w:pBdr>
        <w:bottom w:val="single" w:color="000000" w:sz="6" w:space="0"/>
      </w:pBdr>
      <w:snapToGrid w:val="0"/>
      <w:jc w:val="center"/>
    </w:pPr>
    <w:rPr>
      <w:sz w:val="18"/>
      <w:szCs w:val="18"/>
    </w:rPr>
  </w:style>
  <w:style w:type="paragraph" w:styleId="5">
    <w:name w:val="Body Text 2"/>
    <w:basedOn w:val="1"/>
    <w:qFormat/>
    <w:uiPriority w:val="0"/>
    <w:pPr>
      <w:spacing w:after="120" w:line="480" w:lineRule="auto"/>
    </w:pPr>
  </w:style>
  <w:style w:type="paragraph" w:styleId="6">
    <w:name w:val="Normal (Web)"/>
    <w:basedOn w:val="1"/>
    <w:qFormat/>
    <w:uiPriority w:val="0"/>
    <w:pPr>
      <w:spacing w:beforeAutospacing="1" w:afterAutospacing="1"/>
      <w:jc w:val="left"/>
    </w:pPr>
    <w:rPr>
      <w:kern w:val="0"/>
      <w:sz w:val="24"/>
    </w:rPr>
  </w:style>
  <w:style w:type="character" w:styleId="9">
    <w:name w:val="Strong"/>
    <w:qFormat/>
    <w:uiPriority w:val="0"/>
    <w:rPr>
      <w:rFonts w:cs="Times New Roman"/>
      <w:b/>
      <w:bCs/>
    </w:rPr>
  </w:style>
  <w:style w:type="character" w:styleId="10">
    <w:name w:val="Hyperlink"/>
    <w:basedOn w:val="11"/>
    <w:semiHidden/>
    <w:qFormat/>
    <w:uiPriority w:val="0"/>
    <w:rPr>
      <w:color w:val="0000FF"/>
      <w:u w:val="single"/>
    </w:rPr>
  </w:style>
  <w:style w:type="character" w:customStyle="1" w:styleId="11">
    <w:name w:val="NormalCharacter"/>
    <w:semiHidden/>
    <w:qFormat/>
    <w:uiPriority w:val="0"/>
  </w:style>
  <w:style w:type="paragraph" w:customStyle="1" w:styleId="12">
    <w:name w:val="正文-公1"/>
    <w:basedOn w:val="1"/>
    <w:qFormat/>
    <w:uiPriority w:val="99"/>
    <w:pPr>
      <w:ind w:firstLine="200" w:firstLineChars="200"/>
    </w:pPr>
    <w:rPr>
      <w:rFonts w:ascii="Calibri" w:hAnsi="Calibri"/>
    </w:rPr>
  </w:style>
  <w:style w:type="paragraph" w:customStyle="1" w:styleId="13">
    <w:name w:val="Heading1"/>
    <w:basedOn w:val="1"/>
    <w:link w:val="19"/>
    <w:qFormat/>
    <w:uiPriority w:val="0"/>
    <w:pPr>
      <w:spacing w:before="100" w:beforeAutospacing="1" w:after="100" w:afterAutospacing="1"/>
      <w:jc w:val="left"/>
    </w:pPr>
    <w:rPr>
      <w:rFonts w:ascii="宋体" w:hAnsi="宋体" w:cs="宋体"/>
      <w:b/>
      <w:bCs/>
      <w:kern w:val="36"/>
      <w:sz w:val="48"/>
      <w:szCs w:val="48"/>
    </w:rPr>
  </w:style>
  <w:style w:type="table" w:customStyle="1" w:styleId="14">
    <w:name w:val="TableNormal"/>
    <w:semiHidden/>
    <w:qFormat/>
    <w:uiPriority w:val="0"/>
    <w:tblPr>
      <w:tblCellMar>
        <w:top w:w="0" w:type="dxa"/>
        <w:left w:w="0" w:type="dxa"/>
        <w:bottom w:w="0" w:type="dxa"/>
        <w:right w:w="0" w:type="dxa"/>
      </w:tblCellMar>
    </w:tblPr>
  </w:style>
  <w:style w:type="paragraph" w:customStyle="1" w:styleId="15">
    <w:name w:val="Acetate"/>
    <w:basedOn w:val="1"/>
    <w:qFormat/>
    <w:uiPriority w:val="0"/>
    <w:rPr>
      <w:sz w:val="18"/>
      <w:szCs w:val="18"/>
    </w:rPr>
  </w:style>
  <w:style w:type="paragraph" w:customStyle="1" w:styleId="16">
    <w:name w:val="UserStyle_0"/>
    <w:basedOn w:val="1"/>
    <w:qFormat/>
    <w:uiPriority w:val="0"/>
    <w:pPr>
      <w:spacing w:before="100" w:beforeAutospacing="1" w:after="100" w:afterAutospacing="1"/>
      <w:jc w:val="left"/>
    </w:pPr>
    <w:rPr>
      <w:rFonts w:ascii="黑体" w:hAnsi="宋体" w:eastAsia="黑体" w:cs="宋体"/>
      <w:b/>
      <w:bCs/>
      <w:kern w:val="0"/>
      <w:sz w:val="36"/>
      <w:szCs w:val="36"/>
    </w:rPr>
  </w:style>
  <w:style w:type="paragraph" w:customStyle="1" w:styleId="17">
    <w:name w:val="UserStyle_1"/>
    <w:basedOn w:val="1"/>
    <w:qFormat/>
    <w:uiPriority w:val="0"/>
    <w:pPr>
      <w:spacing w:before="100" w:beforeAutospacing="1" w:after="100" w:afterAutospacing="1"/>
      <w:jc w:val="left"/>
    </w:pPr>
    <w:rPr>
      <w:rFonts w:ascii="黑体" w:hAnsi="宋体" w:eastAsia="黑体" w:cs="宋体"/>
      <w:b/>
      <w:bCs/>
      <w:kern w:val="0"/>
      <w:sz w:val="54"/>
      <w:szCs w:val="54"/>
    </w:rPr>
  </w:style>
  <w:style w:type="paragraph" w:customStyle="1" w:styleId="18">
    <w:name w:val="UserStyle_2"/>
    <w:basedOn w:val="1"/>
    <w:qFormat/>
    <w:uiPriority w:val="0"/>
    <w:pPr>
      <w:spacing w:before="100" w:beforeAutospacing="1" w:after="100" w:afterAutospacing="1"/>
      <w:jc w:val="left"/>
    </w:pPr>
    <w:rPr>
      <w:rFonts w:ascii="宋体" w:hAnsi="宋体"/>
      <w:kern w:val="0"/>
      <w:sz w:val="24"/>
    </w:rPr>
  </w:style>
  <w:style w:type="character" w:customStyle="1" w:styleId="19">
    <w:name w:val="UserStyle_3"/>
    <w:basedOn w:val="11"/>
    <w:link w:val="13"/>
    <w:qFormat/>
    <w:uiPriority w:val="0"/>
    <w:rPr>
      <w:rFonts w:ascii="宋体" w:hAnsi="宋体" w:cs="宋体"/>
      <w:b/>
      <w:bCs/>
      <w:kern w:val="36"/>
      <w:sz w:val="48"/>
      <w:szCs w:val="48"/>
    </w:rPr>
  </w:style>
  <w:style w:type="character" w:customStyle="1" w:styleId="20">
    <w:name w:val="UserStyle_4"/>
    <w:basedOn w:val="11"/>
    <w:qFormat/>
    <w:uiPriority w:val="0"/>
  </w:style>
  <w:style w:type="paragraph" w:customStyle="1" w:styleId="21">
    <w:name w:val="HtmlNormal"/>
    <w:basedOn w:val="1"/>
    <w:semiHidden/>
    <w:qFormat/>
    <w:uiPriority w:val="0"/>
    <w:pPr>
      <w:spacing w:before="100" w:beforeAutospacing="1" w:after="100" w:afterAutospacing="1"/>
      <w:jc w:val="left"/>
    </w:pPr>
    <w:rPr>
      <w:rFonts w:ascii="宋体" w:hAnsi="宋体"/>
      <w:kern w:val="0"/>
      <w:sz w:val="24"/>
    </w:rPr>
  </w:style>
  <w:style w:type="character" w:customStyle="1" w:styleId="22">
    <w:name w:val="页脚 Char"/>
    <w:basedOn w:val="8"/>
    <w:link w:val="3"/>
    <w:qFormat/>
    <w:uiPriority w:val="99"/>
    <w:rPr>
      <w:rFonts w:cstheme="minorBidi"/>
      <w:kern w:val="2"/>
      <w:sz w:val="18"/>
      <w:szCs w:val="18"/>
    </w:rPr>
  </w:style>
  <w:style w:type="paragraph" w:customStyle="1" w:styleId="23">
    <w:name w:val="Body text|2"/>
    <w:basedOn w:val="1"/>
    <w:qFormat/>
    <w:uiPriority w:val="0"/>
    <w:pPr>
      <w:spacing w:after="300"/>
      <w:ind w:firstLine="740"/>
    </w:pPr>
    <w:rPr>
      <w:rFonts w:ascii="宋体" w:hAnsi="宋体" w:cs="宋体"/>
      <w:sz w:val="26"/>
      <w:szCs w:val="26"/>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4</Pages>
  <Words>307</Words>
  <Characters>1751</Characters>
  <Lines>14</Lines>
  <Paragraphs>4</Paragraphs>
  <TotalTime>6</TotalTime>
  <ScaleCrop>false</ScaleCrop>
  <LinksUpToDate>false</LinksUpToDate>
  <CharactersWithSpaces>2054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2021-01-13T04:51:00Z</dcterms:created>
  <dc:creator>Administrator</dc:creator>
  <cp:lastModifiedBy>丘丘</cp:lastModifiedBy>
  <cp:lastPrinted>2022-01-08T09:15:00Z</cp:lastPrinted>
  <dcterms:modified xsi:type="dcterms:W3CDTF">2022-03-29T03:08:48Z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B0800C9E1B4A4C7080E0D713A6189217</vt:lpwstr>
  </property>
</Properties>
</file>