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spacing w:before="0" w:beforeAutospacing="0" w:after="0" w:afterAutospacing="0" w:line="600" w:lineRule="exact"/>
        <w:jc w:val="center"/>
        <w:rPr>
          <w:rStyle w:val="19"/>
          <w:rFonts w:ascii="黑体" w:eastAsia="黑体"/>
          <w:sz w:val="44"/>
          <w:szCs w:val="44"/>
        </w:rPr>
      </w:pPr>
      <w:r>
        <w:rPr>
          <w:rStyle w:val="17"/>
          <w:rFonts w:ascii="黑体" w:eastAsia="黑体" w:cs="宋体"/>
          <w:sz w:val="44"/>
          <w:szCs w:val="44"/>
        </w:rPr>
        <w:t>中国人民政治协商会议</w:t>
      </w:r>
    </w:p>
    <w:p>
      <w:pPr>
        <w:pStyle w:val="25"/>
        <w:spacing w:before="0" w:beforeAutospacing="0" w:after="0" w:afterAutospacing="0" w:line="600" w:lineRule="exact"/>
        <w:jc w:val="center"/>
        <w:rPr>
          <w:rStyle w:val="19"/>
          <w:rFonts w:hint="eastAsia"/>
          <w:sz w:val="44"/>
          <w:szCs w:val="44"/>
        </w:rPr>
      </w:pPr>
      <w:r>
        <w:rPr>
          <w:rStyle w:val="19"/>
          <w:sz w:val="44"/>
          <w:szCs w:val="44"/>
        </w:rPr>
        <w:t>黔东南苗族侗族自治州委员会</w:t>
      </w:r>
    </w:p>
    <w:p>
      <w:pPr>
        <w:pStyle w:val="25"/>
        <w:spacing w:before="0" w:beforeAutospacing="0" w:after="0" w:afterAutospacing="0" w:line="600" w:lineRule="exact"/>
        <w:jc w:val="center"/>
        <w:rPr>
          <w:rStyle w:val="19"/>
          <w:rFonts w:hint="eastAsia"/>
          <w:sz w:val="44"/>
          <w:szCs w:val="44"/>
        </w:rPr>
      </w:pPr>
      <w:r>
        <w:rPr>
          <w:rStyle w:val="19"/>
          <w:sz w:val="44"/>
          <w:szCs w:val="44"/>
        </w:rPr>
        <w:t>提</w:t>
      </w:r>
      <w:r>
        <w:rPr>
          <w:rStyle w:val="19"/>
          <w:rFonts w:hint="eastAsia"/>
          <w:sz w:val="44"/>
          <w:szCs w:val="44"/>
        </w:rPr>
        <w:t xml:space="preserve">   </w:t>
      </w:r>
      <w:r>
        <w:rPr>
          <w:rStyle w:val="19"/>
          <w:sz w:val="44"/>
          <w:szCs w:val="44"/>
        </w:rPr>
        <w:t>案</w:t>
      </w:r>
    </w:p>
    <w:p>
      <w:pPr>
        <w:spacing w:line="320" w:lineRule="exact"/>
        <w:jc w:val="center"/>
        <w:textAlignment w:val="top"/>
        <w:rPr>
          <w:rStyle w:val="19"/>
          <w:rFonts w:hint="eastAsia" w:ascii="宋体" w:hAnsi="宋体"/>
          <w:kern w:val="0"/>
          <w:sz w:val="24"/>
        </w:rPr>
      </w:pPr>
    </w:p>
    <w:p>
      <w:pPr>
        <w:spacing w:line="320" w:lineRule="exact"/>
        <w:jc w:val="center"/>
        <w:textAlignment w:val="top"/>
        <w:rPr>
          <w:rStyle w:val="19"/>
          <w:rFonts w:hint="eastAsia" w:ascii="宋体" w:hAnsi="宋体"/>
          <w:kern w:val="0"/>
          <w:sz w:val="24"/>
        </w:rPr>
      </w:pPr>
    </w:p>
    <w:p>
      <w:pPr>
        <w:spacing w:line="760" w:lineRule="exact"/>
        <w:jc w:val="both"/>
        <w:textAlignment w:val="top"/>
        <w:rPr>
          <w:rStyle w:val="19"/>
          <w:rFonts w:ascii="宋体" w:hAnsi="宋体"/>
          <w:kern w:val="0"/>
          <w:sz w:val="24"/>
        </w:rPr>
      </w:pPr>
      <w:r>
        <w:rPr>
          <w:rStyle w:val="19"/>
          <w:rFonts w:ascii="宋体" w:hAnsi="宋体"/>
          <w:kern w:val="0"/>
          <w:sz w:val="24"/>
        </w:rPr>
        <mc:AlternateContent>
          <mc:Choice Requires="wps">
            <w:drawing>
              <wp:inline distT="0" distB="0" distL="114300" distR="114300">
                <wp:extent cx="5212080" cy="35560"/>
                <wp:effectExtent l="0" t="0" r="7620" b="2540"/>
                <wp:docPr id="1" name="矩形 1"/>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C+6oZl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320" w:lineRule="exact"/>
        <w:rPr>
          <w:rStyle w:val="19"/>
          <w:rFonts w:hint="default" w:ascii="宋体" w:hAnsi="宋体" w:eastAsia="宋体"/>
          <w:kern w:val="0"/>
          <w:sz w:val="24"/>
          <w:lang w:val="en-US" w:eastAsia="zh-CN"/>
        </w:rPr>
      </w:pPr>
      <w:r>
        <w:rPr>
          <w:rStyle w:val="19"/>
          <w:rFonts w:ascii="宋体" w:hAnsi="宋体"/>
          <w:kern w:val="0"/>
          <w:sz w:val="24"/>
        </w:rPr>
        <w:t>第十</w:t>
      </w:r>
      <w:r>
        <w:rPr>
          <w:rStyle w:val="19"/>
          <w:rFonts w:hint="eastAsia" w:ascii="宋体" w:hAnsi="宋体"/>
          <w:kern w:val="0"/>
          <w:sz w:val="24"/>
          <w:lang w:val="en-US" w:eastAsia="zh-CN"/>
        </w:rPr>
        <w:t>三</w:t>
      </w:r>
      <w:r>
        <w:rPr>
          <w:rStyle w:val="19"/>
          <w:rFonts w:ascii="宋体" w:hAnsi="宋体"/>
          <w:kern w:val="0"/>
          <w:sz w:val="24"/>
        </w:rPr>
        <w:t>届第</w:t>
      </w:r>
      <w:r>
        <w:rPr>
          <w:rStyle w:val="19"/>
          <w:rFonts w:hint="eastAsia" w:ascii="宋体" w:hAnsi="宋体"/>
          <w:kern w:val="0"/>
          <w:sz w:val="24"/>
          <w:lang w:val="en-US" w:eastAsia="zh-CN"/>
        </w:rPr>
        <w:t>一</w:t>
      </w:r>
      <w:r>
        <w:rPr>
          <w:rStyle w:val="19"/>
          <w:rFonts w:ascii="宋体" w:hAnsi="宋体"/>
          <w:kern w:val="0"/>
          <w:sz w:val="24"/>
        </w:rPr>
        <w:t>次会议　       　第</w:t>
      </w:r>
      <w:r>
        <w:rPr>
          <w:rStyle w:val="19"/>
          <w:rFonts w:hint="eastAsia" w:ascii="宋体" w:hAnsi="宋体"/>
          <w:kern w:val="0"/>
          <w:sz w:val="24"/>
          <w:lang w:val="en-US" w:eastAsia="zh-CN"/>
        </w:rPr>
        <w:t>022</w:t>
      </w:r>
      <w:bookmarkStart w:id="0" w:name="_GoBack"/>
      <w:bookmarkEnd w:id="0"/>
      <w:r>
        <w:rPr>
          <w:rStyle w:val="19"/>
          <w:rFonts w:ascii="宋体" w:hAnsi="宋体"/>
          <w:kern w:val="0"/>
          <w:sz w:val="24"/>
        </w:rPr>
        <w:t xml:space="preserve">号　    </w:t>
      </w:r>
      <w:r>
        <w:rPr>
          <w:rStyle w:val="19"/>
          <w:rFonts w:hint="eastAsia" w:ascii="宋体" w:hAnsi="宋体"/>
          <w:kern w:val="0"/>
          <w:sz w:val="24"/>
        </w:rPr>
        <w:t xml:space="preserve">    </w:t>
      </w:r>
      <w:r>
        <w:rPr>
          <w:rStyle w:val="19"/>
          <w:rFonts w:hint="eastAsia" w:ascii="宋体" w:hAnsi="宋体"/>
          <w:kern w:val="0"/>
          <w:sz w:val="24"/>
          <w:lang w:val="en-US" w:eastAsia="zh-CN"/>
        </w:rPr>
        <w:t xml:space="preserve"> 类别：社会建设类     </w:t>
      </w:r>
    </w:p>
    <w:p>
      <w:pPr>
        <w:spacing w:line="320" w:lineRule="exact"/>
        <w:jc w:val="left"/>
        <w:rPr>
          <w:rStyle w:val="19"/>
          <w:rFonts w:ascii="宋体" w:hAnsi="宋体"/>
          <w:kern w:val="0"/>
          <w:sz w:val="24"/>
        </w:rPr>
      </w:pPr>
      <w:r>
        <w:rPr>
          <w:rStyle w:val="19"/>
          <w:rFonts w:ascii="宋体" w:hAnsi="宋体"/>
          <w:kern w:val="0"/>
          <w:sz w:val="24"/>
        </w:rPr>
        <mc:AlternateContent>
          <mc:Choice Requires="wps">
            <w:drawing>
              <wp:inline distT="0" distB="0" distL="114300" distR="114300">
                <wp:extent cx="5274945" cy="38100"/>
                <wp:effectExtent l="0" t="0" r="1905" b="0"/>
                <wp:docPr id="2" name="矩形 2"/>
                <wp:cNvGraphicFramePr/>
                <a:graphic xmlns:a="http://schemas.openxmlformats.org/drawingml/2006/main">
                  <a:graphicData uri="http://schemas.microsoft.com/office/word/2010/wordprocessingShape">
                    <wps:wsp>
                      <wps:cNvSpPr/>
                      <wps:spPr>
                        <a:xfrm>
                          <a:off x="0" y="0"/>
                          <a:ext cx="5274945" cy="3810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3pt;width:415.35pt;" fillcolor="#ACA899" filled="t" stroked="f" coordsize="21600,21600" o:gfxdata="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MVtO0wAAAAMBAAAPAAAAAAAAAAEAIAAAACIAAABkcnMvZG93bnJldi54bWxQSwEC&#10;FAAUAAAACACHTuJApo3SZ8ABAAB3AwAADgAAAAAAAAABACAAAAAiAQAAZHJzL2Uyb0RvYy54bWxQ&#10;SwUGAAAAAAYABgBZAQAAVAUAAAAA&#10;">
                <v:fill on="t" focussize="0,0"/>
                <v:stroke on="f"/>
                <v:imagedata o:title=""/>
                <o:lock v:ext="edit" aspectratio="f"/>
                <v:textbox>
                  <w:txbxContent>
                    <w:p/>
                  </w:txbxContent>
                </v:textbox>
                <w10:wrap type="none"/>
                <w10:anchorlock/>
              </v:rect>
            </w:pict>
          </mc:Fallback>
        </mc:AlternateContent>
      </w:r>
    </w:p>
    <w:tbl>
      <w:tblPr>
        <w:tblStyle w:val="15"/>
        <w:tblW w:w="8550" w:type="dxa"/>
        <w:tblInd w:w="0" w:type="dxa"/>
        <w:tblLayout w:type="fixed"/>
        <w:tblCellMar>
          <w:top w:w="0" w:type="dxa"/>
          <w:left w:w="15" w:type="dxa"/>
          <w:bottom w:w="0" w:type="dxa"/>
          <w:right w:w="15" w:type="dxa"/>
        </w:tblCellMar>
      </w:tblPr>
      <w:tblGrid>
        <w:gridCol w:w="1753"/>
        <w:gridCol w:w="3872"/>
        <w:gridCol w:w="1440"/>
        <w:gridCol w:w="1485"/>
      </w:tblGrid>
      <w:tr>
        <w:tblPrEx>
          <w:tblCellMar>
            <w:top w:w="0" w:type="dxa"/>
            <w:left w:w="15" w:type="dxa"/>
            <w:bottom w:w="0" w:type="dxa"/>
            <w:right w:w="15" w:type="dxa"/>
          </w:tblCellMar>
        </w:tblPrEx>
        <w:tc>
          <w:tcPr>
            <w:tcW w:w="1753" w:type="dxa"/>
            <w:vAlign w:val="center"/>
          </w:tcPr>
          <w:p>
            <w:pPr>
              <w:jc w:val="left"/>
              <w:rPr>
                <w:rStyle w:val="19"/>
                <w:rFonts w:ascii="宋体" w:hAnsi="宋体"/>
                <w:kern w:val="0"/>
                <w:sz w:val="24"/>
              </w:rPr>
            </w:pPr>
            <w:r>
              <w:rPr>
                <w:rStyle w:val="19"/>
                <w:rFonts w:ascii="黑体" w:hAnsi="宋体" w:eastAsia="黑体" w:cs="宋体"/>
                <w:b/>
                <w:bCs/>
                <w:kern w:val="0"/>
                <w:sz w:val="24"/>
              </w:rPr>
              <w:t>案</w:t>
            </w:r>
            <w:r>
              <w:rPr>
                <w:rStyle w:val="19"/>
                <w:rFonts w:ascii="宋体" w:hAnsi="宋体" w:eastAsia="黑体" w:cs="宋体"/>
                <w:b/>
                <w:bCs/>
                <w:kern w:val="0"/>
                <w:sz w:val="24"/>
              </w:rPr>
              <w:t>  </w:t>
            </w:r>
            <w:r>
              <w:rPr>
                <w:rStyle w:val="19"/>
                <w:rFonts w:ascii="黑体" w:hAnsi="宋体" w:eastAsia="黑体" w:cs="宋体"/>
                <w:b/>
                <w:bCs/>
                <w:kern w:val="0"/>
                <w:sz w:val="24"/>
              </w:rPr>
              <w:t>由</w:t>
            </w:r>
            <w:r>
              <w:rPr>
                <w:rStyle w:val="19"/>
                <w:rFonts w:ascii="宋体" w:hAnsi="宋体" w:cs="宋体"/>
                <w:b/>
                <w:bCs/>
                <w:kern w:val="0"/>
                <w:sz w:val="24"/>
              </w:rPr>
              <w:t>：</w:t>
            </w:r>
          </w:p>
        </w:tc>
        <w:tc>
          <w:tcPr>
            <w:tcW w:w="6797" w:type="dxa"/>
            <w:gridSpan w:val="3"/>
            <w:vAlign w:val="center"/>
          </w:tcPr>
          <w:p>
            <w:pPr>
              <w:ind w:left="1606" w:hanging="1104" w:hangingChars="500"/>
              <w:rPr>
                <w:rStyle w:val="19"/>
                <w:rFonts w:ascii="宋体" w:hAnsi="宋体" w:cs="宋体"/>
                <w:b/>
                <w:bCs/>
                <w:kern w:val="0"/>
                <w:sz w:val="24"/>
              </w:rPr>
            </w:pPr>
            <w:r>
              <w:rPr>
                <w:rFonts w:hint="eastAsia" w:ascii="Times New Roman" w:hAnsi="Times New Roman" w:eastAsia="宋体" w:cs="Times New Roman"/>
                <w:b/>
                <w:bCs/>
                <w:kern w:val="0"/>
                <w:sz w:val="22"/>
                <w:szCs w:val="22"/>
                <w:lang w:val="en-US" w:eastAsia="zh-CN"/>
              </w:rPr>
              <w:t>关于鼓励支持我州中小学生开展研学旅行的建议</w:t>
            </w:r>
          </w:p>
        </w:tc>
      </w:tr>
      <w:tr>
        <w:tblPrEx>
          <w:tblCellMar>
            <w:top w:w="0" w:type="dxa"/>
            <w:left w:w="15" w:type="dxa"/>
            <w:bottom w:w="0" w:type="dxa"/>
            <w:right w:w="15" w:type="dxa"/>
          </w:tblCellMar>
        </w:tblPrEx>
        <w:tc>
          <w:tcPr>
            <w:tcW w:w="1753" w:type="dxa"/>
            <w:vAlign w:val="center"/>
          </w:tcPr>
          <w:p>
            <w:pPr>
              <w:jc w:val="left"/>
              <w:rPr>
                <w:rStyle w:val="19"/>
                <w:rFonts w:ascii="宋体" w:hAnsi="宋体"/>
                <w:kern w:val="0"/>
                <w:sz w:val="24"/>
              </w:rPr>
            </w:pPr>
            <w:r>
              <w:rPr>
                <w:rStyle w:val="19"/>
                <w:rFonts w:ascii="黑体" w:hAnsi="宋体" w:eastAsia="黑体" w:cs="宋体"/>
                <w:b/>
                <w:bCs/>
                <w:kern w:val="0"/>
                <w:sz w:val="24"/>
              </w:rPr>
              <w:t>审查意见</w:t>
            </w:r>
            <w:r>
              <w:rPr>
                <w:rStyle w:val="19"/>
                <w:rFonts w:ascii="宋体" w:hAnsi="宋体" w:cs="宋体"/>
                <w:b/>
                <w:bCs/>
                <w:kern w:val="0"/>
                <w:sz w:val="24"/>
              </w:rPr>
              <w:t>：</w:t>
            </w:r>
          </w:p>
        </w:tc>
        <w:tc>
          <w:tcPr>
            <w:tcW w:w="6797" w:type="dxa"/>
            <w:gridSpan w:val="3"/>
            <w:vAlign w:val="center"/>
          </w:tcPr>
          <w:p>
            <w:pPr>
              <w:jc w:val="left"/>
              <w:rPr>
                <w:rStyle w:val="19"/>
                <w:rFonts w:hint="default" w:ascii="宋体" w:hAnsi="宋体"/>
                <w:kern w:val="0"/>
                <w:sz w:val="24"/>
                <w:lang w:val="en-US" w:eastAsia="zh-CN"/>
              </w:rPr>
            </w:pPr>
            <w:r>
              <w:rPr>
                <w:rStyle w:val="19"/>
                <w:rFonts w:hint="eastAsia" w:ascii="宋体" w:hAnsi="宋体"/>
                <w:kern w:val="0"/>
                <w:sz w:val="24"/>
                <w:szCs w:val="24"/>
                <w:lang w:eastAsia="zh-CN"/>
              </w:rPr>
              <w:t>主办：州教育局</w:t>
            </w:r>
            <w:r>
              <w:rPr>
                <w:rStyle w:val="19"/>
                <w:rFonts w:hint="eastAsia" w:ascii="宋体" w:hAnsi="宋体"/>
                <w:kern w:val="0"/>
                <w:sz w:val="24"/>
                <w:szCs w:val="24"/>
                <w:lang w:val="en-US" w:eastAsia="zh-CN"/>
              </w:rPr>
              <w:t xml:space="preserve">   会办：</w:t>
            </w:r>
          </w:p>
        </w:tc>
      </w:tr>
      <w:tr>
        <w:tblPrEx>
          <w:tblCellMar>
            <w:top w:w="0" w:type="dxa"/>
            <w:left w:w="15" w:type="dxa"/>
            <w:bottom w:w="0" w:type="dxa"/>
            <w:right w:w="15" w:type="dxa"/>
          </w:tblCellMar>
        </w:tblPrEx>
        <w:tc>
          <w:tcPr>
            <w:tcW w:w="1753" w:type="dxa"/>
            <w:vAlign w:val="center"/>
          </w:tcPr>
          <w:p>
            <w:pPr>
              <w:jc w:val="left"/>
              <w:rPr>
                <w:rStyle w:val="19"/>
                <w:rFonts w:ascii="黑体" w:hAnsi="宋体" w:eastAsia="黑体"/>
                <w:kern w:val="0"/>
                <w:sz w:val="24"/>
              </w:rPr>
            </w:pPr>
            <w:r>
              <w:rPr>
                <w:rStyle w:val="19"/>
                <w:rFonts w:ascii="黑体" w:hAnsi="宋体" w:eastAsia="黑体" w:cs="宋体"/>
                <w:b/>
                <w:bCs/>
                <w:kern w:val="0"/>
                <w:sz w:val="24"/>
              </w:rPr>
              <w:t>提</w:t>
            </w:r>
            <w:r>
              <w:rPr>
                <w:rStyle w:val="19"/>
                <w:rFonts w:hint="eastAsia" w:ascii="黑体" w:hAnsi="宋体" w:eastAsia="黑体" w:cs="宋体"/>
                <w:b/>
                <w:bCs/>
                <w:kern w:val="0"/>
                <w:sz w:val="24"/>
                <w:lang w:val="en-US" w:eastAsia="zh-CN"/>
              </w:rPr>
              <w:t xml:space="preserve"> </w:t>
            </w:r>
            <w:r>
              <w:rPr>
                <w:rStyle w:val="19"/>
                <w:rFonts w:ascii="黑体" w:hAnsi="宋体" w:eastAsia="黑体" w:cs="宋体"/>
                <w:b/>
                <w:bCs/>
                <w:kern w:val="0"/>
                <w:sz w:val="24"/>
              </w:rPr>
              <w:t>案</w:t>
            </w:r>
            <w:r>
              <w:rPr>
                <w:rStyle w:val="19"/>
                <w:rFonts w:hint="eastAsia" w:ascii="黑体" w:hAnsi="宋体" w:eastAsia="黑体" w:cs="宋体"/>
                <w:b/>
                <w:bCs/>
                <w:kern w:val="0"/>
                <w:sz w:val="24"/>
                <w:lang w:val="en-US" w:eastAsia="zh-CN"/>
              </w:rPr>
              <w:t xml:space="preserve"> </w:t>
            </w:r>
            <w:r>
              <w:rPr>
                <w:rStyle w:val="19"/>
                <w:rFonts w:ascii="黑体" w:hAnsi="宋体" w:eastAsia="黑体" w:cs="宋体"/>
                <w:b/>
                <w:bCs/>
                <w:kern w:val="0"/>
                <w:sz w:val="24"/>
              </w:rPr>
              <w:t>人</w:t>
            </w:r>
            <w:r>
              <w:rPr>
                <w:rStyle w:val="19"/>
                <w:rFonts w:ascii="宋体" w:hAnsi="宋体" w:eastAsia="黑体" w:cs="宋体"/>
                <w:b/>
                <w:bCs/>
                <w:kern w:val="0"/>
                <w:sz w:val="24"/>
              </w:rPr>
              <w:t>：</w:t>
            </w:r>
          </w:p>
        </w:tc>
        <w:tc>
          <w:tcPr>
            <w:tcW w:w="3872" w:type="dxa"/>
            <w:vAlign w:val="center"/>
          </w:tcPr>
          <w:p>
            <w:pPr>
              <w:jc w:val="left"/>
              <w:rPr>
                <w:rStyle w:val="19"/>
                <w:rFonts w:ascii="宋体" w:hAnsi="宋体"/>
                <w:kern w:val="0"/>
                <w:sz w:val="24"/>
              </w:rPr>
            </w:pPr>
            <w:r>
              <w:rPr>
                <w:rStyle w:val="19"/>
                <w:rFonts w:ascii="宋体" w:hAnsi="宋体" w:cs="宋体"/>
                <w:b/>
                <w:bCs/>
                <w:kern w:val="0"/>
                <w:sz w:val="24"/>
              </w:rPr>
              <w:t>通讯地址</w:t>
            </w:r>
          </w:p>
        </w:tc>
        <w:tc>
          <w:tcPr>
            <w:tcW w:w="1440" w:type="dxa"/>
            <w:vAlign w:val="center"/>
          </w:tcPr>
          <w:p>
            <w:pPr>
              <w:jc w:val="left"/>
              <w:rPr>
                <w:rStyle w:val="19"/>
                <w:rFonts w:ascii="宋体" w:hAnsi="宋体"/>
                <w:kern w:val="0"/>
                <w:sz w:val="24"/>
              </w:rPr>
            </w:pPr>
            <w:r>
              <w:rPr>
                <w:rStyle w:val="19"/>
                <w:rFonts w:ascii="宋体" w:hAnsi="宋体" w:cs="宋体"/>
                <w:b/>
                <w:bCs/>
                <w:kern w:val="0"/>
                <w:sz w:val="24"/>
              </w:rPr>
              <w:t>邮政编码</w:t>
            </w:r>
          </w:p>
        </w:tc>
        <w:tc>
          <w:tcPr>
            <w:tcW w:w="1485" w:type="dxa"/>
            <w:vAlign w:val="center"/>
          </w:tcPr>
          <w:p>
            <w:pPr>
              <w:jc w:val="left"/>
              <w:rPr>
                <w:rStyle w:val="19"/>
                <w:rFonts w:ascii="宋体" w:hAnsi="宋体"/>
                <w:kern w:val="0"/>
                <w:sz w:val="24"/>
              </w:rPr>
            </w:pPr>
            <w:r>
              <w:rPr>
                <w:rStyle w:val="19"/>
                <w:rFonts w:ascii="宋体" w:hAnsi="宋体" w:cs="宋体"/>
                <w:b/>
                <w:bCs/>
                <w:kern w:val="0"/>
                <w:sz w:val="24"/>
              </w:rPr>
              <w:t>联系电话</w:t>
            </w:r>
          </w:p>
        </w:tc>
      </w:tr>
      <w:tr>
        <w:tblPrEx>
          <w:tblCellMar>
            <w:top w:w="0" w:type="dxa"/>
            <w:left w:w="15" w:type="dxa"/>
            <w:bottom w:w="0" w:type="dxa"/>
            <w:right w:w="15" w:type="dxa"/>
          </w:tblCellMar>
        </w:tblPrEx>
        <w:tc>
          <w:tcPr>
            <w:tcW w:w="1753" w:type="dxa"/>
            <w:vAlign w:val="center"/>
          </w:tcPr>
          <w:p>
            <w:pPr>
              <w:pStyle w:val="20"/>
              <w:ind w:left="0" w:leftChars="0" w:firstLine="0" w:firstLineChars="0"/>
              <w:rPr>
                <w:rFonts w:hint="eastAsia"/>
                <w:lang w:val="en-US" w:eastAsia="zh-CN"/>
              </w:rPr>
            </w:pPr>
            <w:r>
              <w:rPr>
                <w:rFonts w:hint="eastAsia"/>
                <w:lang w:val="en-US" w:eastAsia="zh-CN"/>
              </w:rPr>
              <w:t>州政协人口资源环境委</w:t>
            </w:r>
          </w:p>
          <w:p>
            <w:pPr>
              <w:pStyle w:val="20"/>
              <w:ind w:left="0" w:leftChars="0" w:firstLine="0" w:firstLineChars="0"/>
              <w:rPr>
                <w:rFonts w:hint="default"/>
                <w:lang w:val="en-US" w:eastAsia="zh-CN"/>
              </w:rPr>
            </w:pPr>
            <w:r>
              <w:rPr>
                <w:rFonts w:hint="eastAsia"/>
                <w:lang w:val="en-US" w:eastAsia="zh-CN"/>
              </w:rPr>
              <w:t>州政协科教卫体与港澳台侨委</w:t>
            </w:r>
          </w:p>
        </w:tc>
        <w:tc>
          <w:tcPr>
            <w:tcW w:w="3872" w:type="dxa"/>
            <w:vAlign w:val="center"/>
          </w:tcPr>
          <w:p>
            <w:pPr>
              <w:pStyle w:val="20"/>
              <w:ind w:left="0" w:leftChars="0" w:firstLine="0" w:firstLineChars="0"/>
              <w:rPr>
                <w:rFonts w:hint="default"/>
                <w:lang w:val="en-US" w:eastAsia="zh-CN"/>
              </w:rPr>
            </w:pPr>
            <w:r>
              <w:rPr>
                <w:rFonts w:hint="eastAsia"/>
                <w:lang w:val="en-US" w:eastAsia="zh-CN"/>
              </w:rPr>
              <w:t>州政协</w:t>
            </w:r>
          </w:p>
        </w:tc>
        <w:tc>
          <w:tcPr>
            <w:tcW w:w="1440" w:type="dxa"/>
            <w:vAlign w:val="center"/>
          </w:tcPr>
          <w:p>
            <w:pPr>
              <w:jc w:val="left"/>
              <w:rPr>
                <w:rStyle w:val="19"/>
                <w:rFonts w:hint="default" w:ascii="宋体" w:hAnsi="宋体" w:eastAsia="宋体"/>
                <w:kern w:val="0"/>
                <w:sz w:val="24"/>
                <w:lang w:val="en-US" w:eastAsia="zh-CN"/>
              </w:rPr>
            </w:pPr>
            <w:r>
              <w:rPr>
                <w:rStyle w:val="19"/>
                <w:rFonts w:hint="eastAsia" w:ascii="宋体" w:hAnsi="宋体"/>
                <w:kern w:val="0"/>
                <w:sz w:val="24"/>
              </w:rPr>
              <w:t>55</w:t>
            </w:r>
            <w:r>
              <w:rPr>
                <w:rStyle w:val="19"/>
                <w:rFonts w:hint="eastAsia" w:ascii="宋体" w:hAnsi="宋体"/>
                <w:kern w:val="0"/>
                <w:sz w:val="24"/>
                <w:lang w:val="en-US" w:eastAsia="zh-CN"/>
              </w:rPr>
              <w:t>6000</w:t>
            </w:r>
          </w:p>
        </w:tc>
        <w:tc>
          <w:tcPr>
            <w:tcW w:w="1485" w:type="dxa"/>
            <w:vAlign w:val="center"/>
          </w:tcPr>
          <w:p>
            <w:pPr>
              <w:pStyle w:val="20"/>
              <w:ind w:left="0" w:leftChars="0" w:firstLine="0" w:firstLineChars="0"/>
              <w:rPr>
                <w:rFonts w:hint="default"/>
                <w:sz w:val="20"/>
                <w:szCs w:val="22"/>
                <w:lang w:val="en-US" w:eastAsia="zh-CN"/>
              </w:rPr>
            </w:pPr>
            <w:r>
              <w:rPr>
                <w:rFonts w:hint="eastAsia"/>
                <w:sz w:val="20"/>
                <w:szCs w:val="22"/>
                <w:lang w:val="en-US" w:eastAsia="zh-CN"/>
              </w:rPr>
              <w:t>8428874</w:t>
            </w:r>
          </w:p>
        </w:tc>
      </w:tr>
      <w:tr>
        <w:tblPrEx>
          <w:tblCellMar>
            <w:top w:w="0" w:type="dxa"/>
            <w:left w:w="15" w:type="dxa"/>
            <w:bottom w:w="0" w:type="dxa"/>
            <w:right w:w="15" w:type="dxa"/>
          </w:tblCellMar>
        </w:tblPrEx>
        <w:tc>
          <w:tcPr>
            <w:tcW w:w="1753" w:type="dxa"/>
            <w:vAlign w:val="center"/>
          </w:tcPr>
          <w:p>
            <w:pPr>
              <w:jc w:val="left"/>
              <w:rPr>
                <w:rStyle w:val="19"/>
                <w:rFonts w:hint="eastAsia" w:ascii="宋体" w:hAnsi="宋体" w:eastAsia="宋体"/>
                <w:kern w:val="0"/>
                <w:sz w:val="24"/>
                <w:lang w:eastAsia="zh-CN"/>
              </w:rPr>
            </w:pPr>
            <w:r>
              <w:rPr>
                <w:rStyle w:val="19"/>
                <w:rFonts w:hint="eastAsia" w:ascii="黑体" w:hAnsi="宋体" w:eastAsia="黑体" w:cs="宋体"/>
                <w:b/>
                <w:bCs/>
                <w:kern w:val="0"/>
                <w:sz w:val="24"/>
                <w:szCs w:val="22"/>
                <w:lang w:eastAsia="zh-CN"/>
              </w:rPr>
              <w:t>工作联系电话：</w:t>
            </w:r>
          </w:p>
        </w:tc>
        <w:tc>
          <w:tcPr>
            <w:tcW w:w="6797" w:type="dxa"/>
            <w:gridSpan w:val="3"/>
            <w:vAlign w:val="center"/>
          </w:tcPr>
          <w:p>
            <w:pPr>
              <w:jc w:val="left"/>
              <w:rPr>
                <w:rStyle w:val="19"/>
                <w:rFonts w:hint="eastAsia" w:ascii="宋体" w:hAnsi="宋体"/>
                <w:kern w:val="0"/>
                <w:sz w:val="24"/>
                <w:lang w:val="en-US" w:eastAsia="zh-CN"/>
              </w:rPr>
            </w:pPr>
            <w:r>
              <w:rPr>
                <w:rStyle w:val="19"/>
                <w:rFonts w:hint="eastAsia" w:ascii="宋体" w:hAnsi="宋体"/>
                <w:kern w:val="0"/>
                <w:sz w:val="24"/>
                <w:lang w:eastAsia="zh-CN"/>
              </w:rPr>
              <w:t>州委办秘书五科：</w:t>
            </w:r>
            <w:r>
              <w:rPr>
                <w:rStyle w:val="19"/>
                <w:rFonts w:hint="eastAsia" w:ascii="宋体" w:hAnsi="宋体"/>
                <w:kern w:val="0"/>
                <w:sz w:val="24"/>
                <w:lang w:val="en-US" w:eastAsia="zh-CN"/>
              </w:rPr>
              <w:t>8270060；</w:t>
            </w:r>
            <w:r>
              <w:rPr>
                <w:rStyle w:val="19"/>
                <w:rFonts w:hint="eastAsia" w:ascii="宋体" w:hAnsi="宋体"/>
                <w:kern w:val="0"/>
                <w:sz w:val="24"/>
                <w:lang w:eastAsia="zh-CN"/>
              </w:rPr>
              <w:t>州政府办建议提案科：</w:t>
            </w:r>
            <w:r>
              <w:rPr>
                <w:rStyle w:val="19"/>
                <w:rFonts w:hint="eastAsia" w:ascii="宋体" w:hAnsi="宋体"/>
                <w:kern w:val="0"/>
                <w:sz w:val="24"/>
                <w:lang w:val="en-US" w:eastAsia="zh-CN"/>
              </w:rPr>
              <w:t>8260016；</w:t>
            </w:r>
          </w:p>
          <w:p>
            <w:pPr>
              <w:jc w:val="left"/>
              <w:rPr>
                <w:rStyle w:val="19"/>
                <w:rFonts w:hint="default" w:ascii="宋体" w:hAnsi="宋体"/>
                <w:kern w:val="0"/>
                <w:sz w:val="24"/>
                <w:lang w:val="en-US"/>
              </w:rPr>
            </w:pPr>
            <w:r>
              <w:rPr>
                <w:rStyle w:val="19"/>
                <w:rFonts w:hint="eastAsia" w:ascii="宋体" w:hAnsi="宋体"/>
                <w:kern w:val="0"/>
                <w:sz w:val="24"/>
                <w:lang w:eastAsia="zh-CN"/>
              </w:rPr>
              <w:t>州政协提案委：</w:t>
            </w:r>
            <w:r>
              <w:rPr>
                <w:rStyle w:val="19"/>
                <w:rFonts w:hint="eastAsia" w:ascii="宋体" w:hAnsi="宋体"/>
                <w:kern w:val="0"/>
                <w:sz w:val="24"/>
                <w:lang w:val="en-US" w:eastAsia="zh-CN"/>
              </w:rPr>
              <w:t>8428866</w:t>
            </w:r>
            <w:r>
              <w:rPr>
                <w:rStyle w:val="19"/>
                <w:rFonts w:hint="eastAsia" w:ascii="宋体" w:hAnsi="宋体"/>
                <w:kern w:val="0"/>
                <w:sz w:val="24"/>
                <w:lang w:eastAsia="zh-CN"/>
              </w:rPr>
              <w:t>。</w:t>
            </w:r>
          </w:p>
        </w:tc>
      </w:tr>
    </w:tbl>
    <w:p>
      <w:pPr>
        <w:jc w:val="left"/>
        <w:rPr>
          <w:rStyle w:val="19"/>
          <w:rFonts w:ascii="宋体" w:hAnsi="宋体"/>
          <w:kern w:val="0"/>
          <w:sz w:val="24"/>
        </w:rPr>
      </w:pPr>
      <w:r>
        <w:rPr>
          <w:rStyle w:val="19"/>
          <w:rFonts w:ascii="宋体" w:hAnsi="宋体"/>
          <w:kern w:val="0"/>
          <w:sz w:val="24"/>
        </w:rPr>
        <mc:AlternateContent>
          <mc:Choice Requires="wps">
            <w:drawing>
              <wp:inline distT="0" distB="0" distL="114300" distR="114300">
                <wp:extent cx="5212080" cy="35560"/>
                <wp:effectExtent l="0" t="0" r="7620" b="2540"/>
                <wp:docPr id="3" name="矩形 3"/>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BCLY2x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560" w:lineRule="exact"/>
        <w:rPr>
          <w:rStyle w:val="19"/>
          <w:rFonts w:hint="eastAsia" w:ascii="仿宋_GB2312" w:hAnsi="宋体" w:eastAsia="仿宋_GB2312"/>
          <w:kern w:val="0"/>
          <w:sz w:val="32"/>
          <w:szCs w:val="32"/>
          <w:lang w:eastAsia="zh-CN"/>
        </w:rPr>
      </w:pPr>
      <w:r>
        <w:rPr>
          <w:rStyle w:val="19"/>
          <w:rFonts w:hint="eastAsia" w:ascii="仿宋_GB2312" w:hAnsi="宋体" w:eastAsia="仿宋_GB2312"/>
          <w:kern w:val="0"/>
          <w:sz w:val="32"/>
          <w:szCs w:val="32"/>
        </w:rPr>
        <w:t>内容和办法</w:t>
      </w:r>
      <w:r>
        <w:rPr>
          <w:rStyle w:val="19"/>
          <w:rFonts w:hint="eastAsia" w:ascii="仿宋_GB2312" w:hAnsi="宋体" w:eastAsia="仿宋_GB2312"/>
          <w:kern w:val="0"/>
          <w:sz w:val="32"/>
          <w:szCs w:val="32"/>
          <w:lang w:eastAsia="zh-CN"/>
        </w:rPr>
        <w:t>：</w:t>
      </w:r>
    </w:p>
    <w:p>
      <w:pPr>
        <w:spacing w:line="560" w:lineRule="exact"/>
        <w:ind w:left="0" w:leftChars="0" w:firstLine="640" w:firstLineChars="200"/>
        <w:rPr>
          <w:rStyle w:val="19"/>
          <w:rFonts w:hint="eastAsia" w:ascii="仿宋_GB2312" w:hAnsi="宋体" w:eastAsia="仿宋_GB2312"/>
          <w:kern w:val="0"/>
          <w:sz w:val="32"/>
          <w:szCs w:val="32"/>
          <w:lang w:val="en-US" w:eastAsia="zh-CN"/>
        </w:rPr>
      </w:pPr>
      <w:r>
        <w:rPr>
          <w:rStyle w:val="19"/>
          <w:rFonts w:hint="eastAsia" w:ascii="仿宋_GB2312" w:hAnsi="宋体" w:eastAsia="仿宋_GB2312"/>
          <w:kern w:val="0"/>
          <w:sz w:val="32"/>
          <w:szCs w:val="32"/>
          <w:lang w:val="en-US" w:eastAsia="zh-CN"/>
        </w:rPr>
        <w:t>近年来，随着我国教育改革的推进和人民生活水平的提高，研学旅行开始活泛起来，并且得到了国家政策的支持。2016年11月30日，教育部等十一个部委印发《关于推进中小学生研学旅行的意见》中提出：推进中小学生研学旅行，是落实立德树人根本任务，帮助中小学生了解国情、热爱祖国、开阔眼界、增长知识，着力提高他们的社会责任感、创新精神和实践能力的重要方式和重要途径。2016年12月，国家旅游局发布《研学旅行服务规范》，对人员配置、产品分类、服务改进、安全管理等提出了明确要求。2017年9月25日，教育部发布《中小学综合实践活动课程指导纲要》中明确：包括研学旅行在内的综合实践活动是国家义务教育和普通高中的必修课程，是基础教育课程体系的重要组成部分，在小学一年级至高中三年级全面实施。2017年12月6日，教育部发布《第一批“全国中小学生研学实践教育基地或营地”》名单，共204个单位被命名为“全国中小学生研学实践教育基地”，其中贵州省有遵义会议纪念馆、黄果树风景名胜区、安顺市平坝区天龙屯堡古镇、中国天眼景区被命名为中小学生研学实践教育基地。在国家层面支持和鼓励下，研学旅行受到越来越多的学校、学生和家庭的青睐，数亿学子走出校门、走进大自然，走向火热的研学旅行实践。研学旅行已经成为我国深化基础教育综合改革、推进素质教育的重要举措。</w:t>
      </w:r>
    </w:p>
    <w:p>
      <w:pPr>
        <w:spacing w:line="560" w:lineRule="exact"/>
        <w:ind w:left="0" w:leftChars="0" w:firstLine="640" w:firstLineChars="200"/>
        <w:rPr>
          <w:rStyle w:val="19"/>
          <w:rFonts w:hint="eastAsia" w:ascii="仿宋_GB2312" w:hAnsi="宋体" w:eastAsia="仿宋_GB2312"/>
          <w:kern w:val="0"/>
          <w:sz w:val="32"/>
          <w:szCs w:val="32"/>
          <w:lang w:val="en-US" w:eastAsia="zh-CN"/>
        </w:rPr>
      </w:pPr>
      <w:r>
        <w:rPr>
          <w:rStyle w:val="19"/>
          <w:rFonts w:hint="eastAsia" w:ascii="仿宋_GB2312" w:hAnsi="宋体" w:eastAsia="仿宋_GB2312"/>
          <w:kern w:val="0"/>
          <w:sz w:val="32"/>
          <w:szCs w:val="32"/>
          <w:lang w:val="en-US" w:eastAsia="zh-CN"/>
        </w:rPr>
        <w:t>我州各级各部门按照中央、省州的决策部署，积极开展中小学生研学旅行工作探索，在促进学生健康成长和提升学生综合素质等方面发挥了积极作用。但一些地方和学校在推进中小学生研学旅行工作过程中，存在思想认识不到位、政策配套不完善、基地建设较滞后、协调机制不健全、安全责任不落实等问题，制约了我州中小学生研学旅行活动有序开展。</w:t>
      </w:r>
    </w:p>
    <w:p>
      <w:pPr>
        <w:spacing w:line="560" w:lineRule="exact"/>
        <w:ind w:left="0" w:leftChars="0" w:firstLine="640" w:firstLineChars="200"/>
        <w:rPr>
          <w:rStyle w:val="19"/>
          <w:rFonts w:hint="eastAsia" w:ascii="仿宋_GB2312" w:hAnsi="宋体" w:eastAsia="仿宋_GB2312"/>
          <w:kern w:val="0"/>
          <w:sz w:val="32"/>
          <w:szCs w:val="32"/>
          <w:lang w:val="en-US" w:eastAsia="zh-CN"/>
        </w:rPr>
      </w:pPr>
      <w:r>
        <w:rPr>
          <w:rStyle w:val="19"/>
          <w:rFonts w:hint="eastAsia" w:ascii="仿宋_GB2312" w:hAnsi="宋体" w:eastAsia="仿宋_GB2312"/>
          <w:kern w:val="0"/>
          <w:sz w:val="32"/>
          <w:szCs w:val="32"/>
          <w:lang w:val="en-US" w:eastAsia="zh-CN"/>
        </w:rPr>
        <w:t>建议：</w:t>
      </w:r>
    </w:p>
    <w:p>
      <w:pPr>
        <w:spacing w:line="560" w:lineRule="exact"/>
        <w:ind w:left="0" w:leftChars="0" w:firstLine="640" w:firstLineChars="200"/>
        <w:rPr>
          <w:rStyle w:val="19"/>
          <w:rFonts w:hint="eastAsia" w:ascii="仿宋_GB2312" w:hAnsi="宋体" w:eastAsia="仿宋_GB2312"/>
          <w:kern w:val="0"/>
          <w:sz w:val="32"/>
          <w:szCs w:val="32"/>
          <w:lang w:val="en-US" w:eastAsia="zh-CN"/>
        </w:rPr>
      </w:pPr>
      <w:r>
        <w:rPr>
          <w:rStyle w:val="19"/>
          <w:rFonts w:hint="eastAsia" w:ascii="仿宋_GB2312" w:hAnsi="宋体" w:eastAsia="仿宋_GB2312"/>
          <w:kern w:val="0"/>
          <w:sz w:val="32"/>
          <w:szCs w:val="32"/>
          <w:lang w:val="en-US" w:eastAsia="zh-CN"/>
        </w:rPr>
        <w:t>一、要提高思想认识。研学旅行创新了素质教育的内容和方式，是一种实践性、探究性、体验性、互动性很强的教育方式。有利于学生开阔视野、丰富知识，激发对家乡、对祖国和对党、对人民的热爱之情；有利于传承和弘扬中华优秀传统文化，培育和践行社会主义核心价值观。同时，在义务教育阶段“双减”政策背景下，研学旅行将会成拉动消费，扩大就业，促进旅游产业高质量发展的旅游新业态。因此，各级各部门要充分认识中小学生研学旅行的重大意义，切实把中小学生研学旅行与课堂教育、青少年劳动教育、未成年人思想道德教育等有机结合起来，推动中小学生研学旅行健康有序开展。</w:t>
      </w:r>
    </w:p>
    <w:p>
      <w:pPr>
        <w:spacing w:line="560" w:lineRule="exact"/>
        <w:ind w:left="0" w:leftChars="0" w:firstLine="640" w:firstLineChars="200"/>
        <w:rPr>
          <w:rStyle w:val="19"/>
          <w:rFonts w:hint="eastAsia" w:ascii="仿宋_GB2312" w:hAnsi="宋体" w:eastAsia="仿宋_GB2312"/>
          <w:kern w:val="0"/>
          <w:sz w:val="32"/>
          <w:szCs w:val="32"/>
          <w:lang w:val="en-US" w:eastAsia="zh-CN"/>
        </w:rPr>
      </w:pPr>
      <w:r>
        <w:rPr>
          <w:rStyle w:val="19"/>
          <w:rFonts w:hint="eastAsia" w:ascii="仿宋_GB2312" w:hAnsi="宋体" w:eastAsia="仿宋_GB2312"/>
          <w:kern w:val="0"/>
          <w:sz w:val="32"/>
          <w:szCs w:val="32"/>
          <w:lang w:val="en-US" w:eastAsia="zh-CN"/>
        </w:rPr>
        <w:t>二、要出台指导意见。近年来，中共中央、国务院以及国家教育部、国家旅游局等陆续出台意见推动中小学生开展研学旅行，重庆、湖南、广东等20多个省市和我省贵阳、安顺、黔南等市州也相继出台政策意见鼓励支持中小学生开展研学旅行。因此，州级层面要研究制定出台鼓励支持中小学生开展研学旅行的实施意见，推动我州中小学生研学旅行高质量发展。</w:t>
      </w:r>
    </w:p>
    <w:p>
      <w:pPr>
        <w:spacing w:line="560" w:lineRule="exact"/>
        <w:ind w:left="0" w:leftChars="0" w:firstLine="640" w:firstLineChars="200"/>
        <w:rPr>
          <w:rStyle w:val="19"/>
          <w:rFonts w:hint="eastAsia" w:ascii="仿宋_GB2312" w:hAnsi="宋体" w:eastAsia="仿宋_GB2312"/>
          <w:kern w:val="0"/>
          <w:sz w:val="32"/>
          <w:szCs w:val="32"/>
          <w:lang w:val="en-US" w:eastAsia="zh-CN"/>
        </w:rPr>
      </w:pPr>
      <w:r>
        <w:rPr>
          <w:rStyle w:val="19"/>
          <w:rFonts w:hint="eastAsia" w:ascii="仿宋_GB2312" w:hAnsi="宋体" w:eastAsia="仿宋_GB2312"/>
          <w:kern w:val="0"/>
          <w:sz w:val="32"/>
          <w:szCs w:val="32"/>
          <w:lang w:val="en-US" w:eastAsia="zh-CN"/>
        </w:rPr>
        <w:t>三、要抓实重点工作。研学旅行要坚持教育性、实践性、安全性、公益性原则，以立德树人为根本目的、以确保安全为基本前提、以完善政策为着力点，因地制宜开展研学旅行。开发一批研学旅行活动课程。把研学旅行纳入中小学教育教学计划安排，并结合我州实际和地域特色，逐步建立小学阶段以乡土乡情为主、初中阶段以县情市情为主、高中阶段以省情国情为主，涵盖自然、历史、人文、科技等多种领域内容的研学旅行课程体系。建设一批研学旅行基地。围绕我州丰富的红色文化、非物质文化、农耕文化、生态文化、民族文化等资源打造不同类型的研学旅行实践基地，并积极申报命名州级、省级和国家级研学旅行示范实践基地。培育一批研学旅行精品线路。围绕红色教育研学旅行、非遗文化研学旅行、劳动体验研学旅行、科普研学旅行等基地，规划打造一批布局合理、互联互通的示范性研学旅行线路。</w:t>
      </w:r>
    </w:p>
    <w:p>
      <w:pPr>
        <w:spacing w:line="560" w:lineRule="exact"/>
        <w:ind w:left="0" w:leftChars="0" w:firstLine="640" w:firstLineChars="200"/>
        <w:rPr>
          <w:rStyle w:val="19"/>
          <w:rFonts w:hint="eastAsia" w:ascii="仿宋_GB2312" w:hAnsi="宋体" w:eastAsia="仿宋_GB2312"/>
          <w:kern w:val="0"/>
          <w:sz w:val="32"/>
          <w:szCs w:val="32"/>
          <w:lang w:val="en-US" w:eastAsia="zh-CN"/>
        </w:rPr>
      </w:pPr>
      <w:r>
        <w:rPr>
          <w:rStyle w:val="19"/>
          <w:rFonts w:hint="eastAsia" w:ascii="仿宋_GB2312" w:hAnsi="宋体" w:eastAsia="仿宋_GB2312"/>
          <w:kern w:val="0"/>
          <w:sz w:val="32"/>
          <w:szCs w:val="32"/>
          <w:lang w:val="en-US" w:eastAsia="zh-CN"/>
        </w:rPr>
        <w:t>四、要建立推进机制。建立统筹协调机制。要在政府层面建立中小学生研学旅行工作协调领导机构，成立由教育局牵头，发改委、文体广电旅游局等部门和单位共同参与的中小学生研学旅行联席会议，加强对研学旅行工作的统筹、指导和管理。建立科学管理机制。要研究制定《黔东南州中小学生研学旅行工作管理办法》，加强对研学旅行活动精细化管理，探索形成具有指导性和操作性的研学旅行活动管理及规章制度体系。建立安全保障机制。要加强与学生家庭、研学旅行承担机构、应急、旅游、交通、公安、食药监管、卫生疾控、保险监管等单位协作互动，制订科学有效的研学旅行安全保障方案，确保研学旅行安全有序。建立经费保障机制。要建立政府、学校、社会、家庭共同承担的多元化经费筹措机制。同时，在政策法规范围内出台优惠政策，降低研学旅行资金成本，并鼓励通过社会捐赠、公益性活动等形式支持研学旅行。建立基地评审机制。要制定并逐步完善研学旅行基地评审标准，建立准入和退出机制，定期或不定期开展检查评估，对发展缓慢、品牌退化、课程粗浅、综合满意率低的基地，取消研学旅行基地命名。建立考核评价机制。要把研学旅行工作纳入部门、学校综合考评内容，建立研学旅行评估指标体系，切实提高研学旅行育人实效。同时，重视宣传引导，争取部门、社会和家庭对中小学生研学旅行工作的支持，为研学旅行营造良好的舆论氛围和社会环境。</w:t>
      </w:r>
    </w:p>
    <w:p>
      <w:pPr>
        <w:spacing w:line="560" w:lineRule="exact"/>
        <w:ind w:left="0" w:leftChars="0" w:firstLine="640" w:firstLineChars="200"/>
        <w:rPr>
          <w:rStyle w:val="19"/>
          <w:rFonts w:hint="eastAsia" w:ascii="仿宋_GB2312" w:hAnsi="宋体" w:eastAsia="仿宋_GB2312"/>
          <w:kern w:val="0"/>
          <w:sz w:val="32"/>
          <w:szCs w:val="32"/>
          <w:lang w:val="en-US" w:eastAsia="zh-CN"/>
        </w:rPr>
      </w:pPr>
    </w:p>
    <w:p>
      <w:pPr>
        <w:spacing w:line="560" w:lineRule="exact"/>
        <w:ind w:left="0" w:leftChars="0" w:firstLine="640" w:firstLineChars="200"/>
        <w:rPr>
          <w:rStyle w:val="19"/>
          <w:rFonts w:hint="eastAsia" w:ascii="仿宋_GB2312" w:hAnsi="宋体" w:eastAsia="仿宋_GB2312"/>
          <w:kern w:val="0"/>
          <w:sz w:val="32"/>
          <w:szCs w:val="32"/>
          <w:lang w:val="en-US" w:eastAsia="zh-CN"/>
        </w:rPr>
      </w:pPr>
    </w:p>
    <w:p>
      <w:pPr>
        <w:spacing w:line="560" w:lineRule="exact"/>
        <w:ind w:left="0" w:leftChars="0" w:firstLine="640" w:firstLineChars="200"/>
        <w:rPr>
          <w:rStyle w:val="19"/>
          <w:rFonts w:hint="eastAsia" w:ascii="仿宋_GB2312" w:hAnsi="宋体" w:eastAsia="仿宋_GB2312"/>
          <w:kern w:val="0"/>
          <w:sz w:val="32"/>
          <w:szCs w:val="32"/>
          <w:lang w:val="en-US" w:eastAsia="zh-CN"/>
        </w:rPr>
      </w:pPr>
      <w:r>
        <w:rPr>
          <w:rStyle w:val="19"/>
          <w:rFonts w:hint="eastAsia" w:ascii="仿宋_GB2312" w:hAnsi="宋体" w:eastAsia="仿宋_GB2312"/>
          <w:kern w:val="0"/>
          <w:sz w:val="32"/>
          <w:szCs w:val="32"/>
          <w:lang w:val="en-US" w:eastAsia="zh-CN"/>
        </w:rPr>
        <w:t>注：1、提案会办单位需将会办意见送主办单位，由主办单位连同《提案答复件》《征询意见表》一并抄送州政协；（涉及目标考核）</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baseline"/>
        <w:rPr>
          <w:rStyle w:val="19"/>
          <w:rFonts w:hint="default" w:ascii="仿宋_GB2312" w:hAnsi="宋体" w:eastAsia="仿宋_GB2312"/>
          <w:kern w:val="0"/>
          <w:sz w:val="32"/>
          <w:szCs w:val="32"/>
          <w:lang w:val="en-US" w:eastAsia="zh-CN"/>
        </w:rPr>
      </w:pPr>
      <w:r>
        <w:rPr>
          <w:rStyle w:val="19"/>
          <w:rFonts w:hint="eastAsia" w:ascii="仿宋_GB2312" w:hAnsi="宋体" w:eastAsia="仿宋_GB2312"/>
          <w:kern w:val="0"/>
          <w:sz w:val="32"/>
          <w:szCs w:val="32"/>
          <w:lang w:val="en-US" w:eastAsia="zh-CN"/>
        </w:rPr>
        <w:t>2、州政协联系方式：州政协办402室、传真8428882，协同账号：州政协办公室收发员（备注：XXX号提案答复件）。</w:t>
      </w:r>
    </w:p>
    <w:sectPr>
      <w:headerReference r:id="rId3" w:type="default"/>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8941"/>
      <w:docPartObj>
        <w:docPartGallery w:val="autotext"/>
      </w:docPartObj>
    </w:sdtPr>
    <w:sdtContent>
      <w:p>
        <w:pPr>
          <w:pStyle w:val="10"/>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rPr>
        <w:rStyle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6C23FF"/>
    <w:multiLevelType w:val="multilevel"/>
    <w:tmpl w:val="1D6C23FF"/>
    <w:lvl w:ilvl="0" w:tentative="0">
      <w:start w:val="1"/>
      <w:numFmt w:val="chineseCounting"/>
      <w:suff w:val="nothing"/>
      <w:lvlText w:val="%1、"/>
      <w:lvlJc w:val="left"/>
      <w:pPr>
        <w:tabs>
          <w:tab w:val="left" w:pos="0"/>
        </w:tabs>
        <w:ind w:firstLine="40"/>
      </w:pPr>
      <w:rPr>
        <w:rFonts w:hint="eastAsia" w:ascii="Times New Roman" w:hAnsi="Times New Roman" w:eastAsia="黑体" w:cs="宋体"/>
        <w:sz w:val="32"/>
        <w:szCs w:val="32"/>
      </w:rPr>
    </w:lvl>
    <w:lvl w:ilvl="1" w:tentative="0">
      <w:start w:val="1"/>
      <w:numFmt w:val="chineseCounting"/>
      <w:suff w:val="nothing"/>
      <w:lvlText w:val="（%2）"/>
      <w:lvlJc w:val="left"/>
      <w:pPr>
        <w:tabs>
          <w:tab w:val="left" w:pos="0"/>
        </w:tabs>
      </w:pPr>
      <w:rPr>
        <w:rFonts w:hint="eastAsia" w:cs="Times New Roman"/>
      </w:rPr>
    </w:lvl>
    <w:lvl w:ilvl="2" w:tentative="0">
      <w:start w:val="1"/>
      <w:numFmt w:val="decimal"/>
      <w:pStyle w:val="5"/>
      <w:suff w:val="nothing"/>
      <w:lvlText w:val="%3．"/>
      <w:lvlJc w:val="left"/>
      <w:pPr>
        <w:ind w:firstLine="400"/>
      </w:pPr>
      <w:rPr>
        <w:rFonts w:hint="eastAsia" w:cs="Times New Roman"/>
      </w:rPr>
    </w:lvl>
    <w:lvl w:ilvl="3" w:tentative="0">
      <w:start w:val="1"/>
      <w:numFmt w:val="decimal"/>
      <w:suff w:val="nothing"/>
      <w:lvlText w:val="（%4）"/>
      <w:lvlJc w:val="left"/>
      <w:pPr>
        <w:ind w:firstLine="402"/>
      </w:pPr>
      <w:rPr>
        <w:rFonts w:hint="eastAsia" w:cs="Times New Roman"/>
      </w:rPr>
    </w:lvl>
    <w:lvl w:ilvl="4" w:tentative="0">
      <w:start w:val="1"/>
      <w:numFmt w:val="decimalEnclosedCircleChinese"/>
      <w:suff w:val="nothing"/>
      <w:lvlText w:val="%5"/>
      <w:lvlJc w:val="left"/>
      <w:pPr>
        <w:ind w:firstLine="402"/>
      </w:pPr>
      <w:rPr>
        <w:rFonts w:hint="eastAsia" w:cs="Times New Roman"/>
      </w:rPr>
    </w:lvl>
    <w:lvl w:ilvl="5" w:tentative="0">
      <w:start w:val="1"/>
      <w:numFmt w:val="decimal"/>
      <w:suff w:val="nothing"/>
      <w:lvlText w:val="%6）"/>
      <w:lvlJc w:val="left"/>
      <w:pPr>
        <w:ind w:firstLine="402"/>
      </w:pPr>
      <w:rPr>
        <w:rFonts w:hint="eastAsia" w:cs="Times New Roman"/>
      </w:rPr>
    </w:lvl>
    <w:lvl w:ilvl="6" w:tentative="0">
      <w:start w:val="1"/>
      <w:numFmt w:val="lowerLetter"/>
      <w:suff w:val="nothing"/>
      <w:lvlText w:val="%7．"/>
      <w:lvlJc w:val="left"/>
      <w:pPr>
        <w:ind w:firstLine="402"/>
      </w:pPr>
      <w:rPr>
        <w:rFonts w:hint="eastAsia" w:cs="Times New Roman"/>
      </w:rPr>
    </w:lvl>
    <w:lvl w:ilvl="7" w:tentative="0">
      <w:start w:val="1"/>
      <w:numFmt w:val="lowerLetter"/>
      <w:suff w:val="nothing"/>
      <w:lvlText w:val="%8）"/>
      <w:lvlJc w:val="left"/>
      <w:pPr>
        <w:ind w:firstLine="402"/>
      </w:pPr>
      <w:rPr>
        <w:rFonts w:hint="eastAsia" w:cs="Times New Roman"/>
      </w:rPr>
    </w:lvl>
    <w:lvl w:ilvl="8" w:tentative="0">
      <w:start w:val="1"/>
      <w:numFmt w:val="lowerRoman"/>
      <w:suff w:val="nothing"/>
      <w:lvlText w:val="%9 "/>
      <w:lvlJc w:val="left"/>
      <w:pPr>
        <w:ind w:firstLine="402"/>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11"/>
    <w:rsid w:val="00062089"/>
    <w:rsid w:val="002F6404"/>
    <w:rsid w:val="00372D70"/>
    <w:rsid w:val="004D0222"/>
    <w:rsid w:val="004E6BC5"/>
    <w:rsid w:val="00507FB8"/>
    <w:rsid w:val="00551F39"/>
    <w:rsid w:val="00554776"/>
    <w:rsid w:val="00654375"/>
    <w:rsid w:val="007055DB"/>
    <w:rsid w:val="007D1DFD"/>
    <w:rsid w:val="00840276"/>
    <w:rsid w:val="008A6967"/>
    <w:rsid w:val="008E32D7"/>
    <w:rsid w:val="008E5289"/>
    <w:rsid w:val="00A351EC"/>
    <w:rsid w:val="00A75BD7"/>
    <w:rsid w:val="00A94399"/>
    <w:rsid w:val="00A97C93"/>
    <w:rsid w:val="00C76ECC"/>
    <w:rsid w:val="00D123BF"/>
    <w:rsid w:val="00DD129A"/>
    <w:rsid w:val="00EA1493"/>
    <w:rsid w:val="00FB6911"/>
    <w:rsid w:val="00FF3F01"/>
    <w:rsid w:val="06503351"/>
    <w:rsid w:val="07D26AFC"/>
    <w:rsid w:val="08B66956"/>
    <w:rsid w:val="09EF9F1F"/>
    <w:rsid w:val="0FFBAB29"/>
    <w:rsid w:val="10B40BCC"/>
    <w:rsid w:val="118823F2"/>
    <w:rsid w:val="18EC1E64"/>
    <w:rsid w:val="1BAB45FA"/>
    <w:rsid w:val="20E366FE"/>
    <w:rsid w:val="21EA0B57"/>
    <w:rsid w:val="29EB237C"/>
    <w:rsid w:val="2FD84B80"/>
    <w:rsid w:val="30B878C9"/>
    <w:rsid w:val="33552650"/>
    <w:rsid w:val="377737A4"/>
    <w:rsid w:val="38D60616"/>
    <w:rsid w:val="3A7B4D73"/>
    <w:rsid w:val="3BE7499D"/>
    <w:rsid w:val="3D7F297E"/>
    <w:rsid w:val="3F1A5C90"/>
    <w:rsid w:val="3FF6ED0D"/>
    <w:rsid w:val="42F10C9F"/>
    <w:rsid w:val="48FD08CE"/>
    <w:rsid w:val="493508EE"/>
    <w:rsid w:val="497C7186"/>
    <w:rsid w:val="4A196944"/>
    <w:rsid w:val="4AAF2B5A"/>
    <w:rsid w:val="4F1E6C2C"/>
    <w:rsid w:val="4F6B5D70"/>
    <w:rsid w:val="507F065A"/>
    <w:rsid w:val="5236789E"/>
    <w:rsid w:val="559F1A55"/>
    <w:rsid w:val="5A7C34BF"/>
    <w:rsid w:val="5AA17385"/>
    <w:rsid w:val="5B7C24C8"/>
    <w:rsid w:val="5E7C7E34"/>
    <w:rsid w:val="61895CCF"/>
    <w:rsid w:val="66F35DD9"/>
    <w:rsid w:val="6854075C"/>
    <w:rsid w:val="69A37ABB"/>
    <w:rsid w:val="6FD47A0B"/>
    <w:rsid w:val="762A4BFD"/>
    <w:rsid w:val="7C1F064D"/>
    <w:rsid w:val="7DAF1E8B"/>
    <w:rsid w:val="7DBB9FDA"/>
    <w:rsid w:val="7FE0122B"/>
    <w:rsid w:val="7FFF2EBA"/>
    <w:rsid w:val="B7DB9CE2"/>
    <w:rsid w:val="B7FF736E"/>
    <w:rsid w:val="CD9E7E9B"/>
    <w:rsid w:val="DCBB4D71"/>
    <w:rsid w:val="F6C7B41D"/>
    <w:rsid w:val="FD7FF71D"/>
    <w:rsid w:val="FEEF87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qFormat="1" w:uiPriority="99"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styleId="5">
    <w:name w:val="heading 3"/>
    <w:basedOn w:val="1"/>
    <w:next w:val="1"/>
    <w:qFormat/>
    <w:uiPriority w:val="99"/>
    <w:pPr>
      <w:keepNext/>
      <w:keepLines/>
      <w:numPr>
        <w:ilvl w:val="2"/>
        <w:numId w:val="1"/>
      </w:numPr>
      <w:tabs>
        <w:tab w:val="left" w:pos="0"/>
      </w:tabs>
      <w:spacing w:line="413" w:lineRule="auto"/>
      <w:outlineLvl w:val="2"/>
    </w:pPr>
    <w:rPr>
      <w:b/>
      <w:sz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left="0" w:leftChars="0" w:firstLine="880" w:firstLineChars="200"/>
    </w:pPr>
    <w:rPr>
      <w:rFonts w:eastAsia="仿宋_GB2312"/>
    </w:rPr>
  </w:style>
  <w:style w:type="paragraph" w:styleId="3">
    <w:name w:val="Body Text Indent"/>
    <w:basedOn w:val="1"/>
    <w:next w:val="4"/>
    <w:qFormat/>
    <w:uiPriority w:val="99"/>
    <w:pPr>
      <w:spacing w:after="120"/>
      <w:ind w:left="420" w:leftChars="200"/>
    </w:pPr>
  </w:style>
  <w:style w:type="paragraph" w:styleId="4">
    <w:name w:val="Body Text"/>
    <w:basedOn w:val="1"/>
    <w:next w:val="5"/>
    <w:qFormat/>
    <w:uiPriority w:val="99"/>
    <w:pPr>
      <w:spacing w:afterAutospacing="1"/>
      <w:ind w:left="101"/>
    </w:pPr>
    <w:rPr>
      <w:rFonts w:ascii="宋体" w:hAnsi="宋体"/>
      <w:sz w:val="29"/>
      <w:szCs w:val="29"/>
    </w:rPr>
  </w:style>
  <w:style w:type="paragraph" w:styleId="6">
    <w:name w:val="table of authorities"/>
    <w:basedOn w:val="1"/>
    <w:next w:val="1"/>
    <w:qFormat/>
    <w:uiPriority w:val="0"/>
    <w:pPr>
      <w:ind w:left="420" w:leftChars="200"/>
    </w:pPr>
    <w:rPr>
      <w:szCs w:val="20"/>
    </w:rPr>
  </w:style>
  <w:style w:type="paragraph" w:styleId="7">
    <w:name w:val="Block Text"/>
    <w:basedOn w:val="1"/>
    <w:unhideWhenUsed/>
    <w:qFormat/>
    <w:uiPriority w:val="99"/>
    <w:pPr>
      <w:spacing w:after="120"/>
      <w:ind w:left="1440" w:leftChars="700" w:right="1440" w:rightChars="700"/>
    </w:pPr>
  </w:style>
  <w:style w:type="paragraph" w:styleId="8">
    <w:name w:val="Body Text Indent 2"/>
    <w:basedOn w:val="1"/>
    <w:next w:val="9"/>
    <w:qFormat/>
    <w:uiPriority w:val="99"/>
    <w:pPr>
      <w:spacing w:after="120" w:line="480" w:lineRule="auto"/>
      <w:ind w:left="420" w:leftChars="200"/>
    </w:pPr>
  </w:style>
  <w:style w:type="paragraph" w:styleId="9">
    <w:name w:val="Body Text Indent 3"/>
    <w:basedOn w:val="1"/>
    <w:qFormat/>
    <w:uiPriority w:val="99"/>
    <w:pPr>
      <w:ind w:left="200" w:leftChars="200"/>
    </w:pPr>
    <w:rPr>
      <w:sz w:val="16"/>
    </w:rPr>
  </w:style>
  <w:style w:type="paragraph" w:styleId="10">
    <w:name w:val="footer"/>
    <w:basedOn w:val="1"/>
    <w:link w:val="31"/>
    <w:qFormat/>
    <w:uiPriority w:val="99"/>
    <w:pPr>
      <w:snapToGrid w:val="0"/>
      <w:jc w:val="left"/>
    </w:pPr>
    <w:rPr>
      <w:sz w:val="18"/>
      <w:szCs w:val="18"/>
    </w:rPr>
  </w:style>
  <w:style w:type="paragraph" w:styleId="11">
    <w:name w:val="header"/>
    <w:basedOn w:val="1"/>
    <w:qFormat/>
    <w:uiPriority w:val="0"/>
    <w:pPr>
      <w:pBdr>
        <w:bottom w:val="single" w:color="000000" w:sz="6" w:space="0"/>
      </w:pBdr>
      <w:snapToGrid w:val="0"/>
      <w:jc w:val="center"/>
    </w:pPr>
    <w:rPr>
      <w:sz w:val="18"/>
      <w:szCs w:val="18"/>
    </w:rPr>
  </w:style>
  <w:style w:type="paragraph" w:styleId="12">
    <w:name w:val="footnote text"/>
    <w:basedOn w:val="1"/>
    <w:semiHidden/>
    <w:qFormat/>
    <w:uiPriority w:val="0"/>
    <w:pPr>
      <w:snapToGrid w:val="0"/>
      <w:jc w:val="left"/>
    </w:pPr>
    <w:rPr>
      <w:sz w:val="18"/>
      <w:szCs w:val="18"/>
    </w:rPr>
  </w:style>
  <w:style w:type="paragraph" w:styleId="13">
    <w:name w:val="Body Text 2"/>
    <w:basedOn w:val="1"/>
    <w:qFormat/>
    <w:uiPriority w:val="0"/>
    <w:pPr>
      <w:spacing w:after="120" w:line="480" w:lineRule="auto"/>
    </w:pPr>
  </w:style>
  <w:style w:type="paragraph" w:styleId="14">
    <w:name w:val="Normal (Web)"/>
    <w:basedOn w:val="1"/>
    <w:qFormat/>
    <w:uiPriority w:val="0"/>
    <w:pPr>
      <w:spacing w:beforeAutospacing="1" w:afterAutospacing="1"/>
      <w:jc w:val="left"/>
    </w:pPr>
    <w:rPr>
      <w:kern w:val="0"/>
      <w:sz w:val="24"/>
    </w:rPr>
  </w:style>
  <w:style w:type="character" w:styleId="17">
    <w:name w:val="Strong"/>
    <w:qFormat/>
    <w:uiPriority w:val="0"/>
    <w:rPr>
      <w:rFonts w:cs="Times New Roman"/>
      <w:b/>
      <w:bCs/>
    </w:rPr>
  </w:style>
  <w:style w:type="character" w:styleId="18">
    <w:name w:val="Hyperlink"/>
    <w:basedOn w:val="19"/>
    <w:semiHidden/>
    <w:qFormat/>
    <w:uiPriority w:val="0"/>
    <w:rPr>
      <w:color w:val="0000FF"/>
      <w:u w:val="single"/>
    </w:rPr>
  </w:style>
  <w:style w:type="character" w:customStyle="1" w:styleId="19">
    <w:name w:val="NormalCharacter"/>
    <w:semiHidden/>
    <w:qFormat/>
    <w:uiPriority w:val="0"/>
  </w:style>
  <w:style w:type="paragraph" w:customStyle="1" w:styleId="20">
    <w:name w:val="Body Text First Indent 21"/>
    <w:basedOn w:val="21"/>
    <w:qFormat/>
    <w:uiPriority w:val="99"/>
    <w:pPr>
      <w:ind w:firstLine="420" w:firstLineChars="200"/>
    </w:pPr>
  </w:style>
  <w:style w:type="paragraph" w:customStyle="1" w:styleId="21">
    <w:name w:val="Body Text Indent1"/>
    <w:basedOn w:val="1"/>
    <w:qFormat/>
    <w:uiPriority w:val="99"/>
    <w:pPr>
      <w:ind w:left="420" w:leftChars="200"/>
    </w:pPr>
  </w:style>
  <w:style w:type="paragraph" w:customStyle="1" w:styleId="22">
    <w:name w:val="Heading1"/>
    <w:basedOn w:val="1"/>
    <w:link w:val="28"/>
    <w:qFormat/>
    <w:uiPriority w:val="0"/>
    <w:pPr>
      <w:spacing w:before="100" w:beforeAutospacing="1" w:after="100" w:afterAutospacing="1"/>
      <w:jc w:val="left"/>
    </w:pPr>
    <w:rPr>
      <w:rFonts w:ascii="宋体" w:hAnsi="宋体" w:cs="宋体"/>
      <w:b/>
      <w:bCs/>
      <w:kern w:val="36"/>
      <w:sz w:val="48"/>
      <w:szCs w:val="48"/>
    </w:rPr>
  </w:style>
  <w:style w:type="table" w:customStyle="1" w:styleId="23">
    <w:name w:val="TableNormal"/>
    <w:semiHidden/>
    <w:qFormat/>
    <w:uiPriority w:val="0"/>
    <w:tblPr>
      <w:tblCellMar>
        <w:top w:w="0" w:type="dxa"/>
        <w:left w:w="0" w:type="dxa"/>
        <w:bottom w:w="0" w:type="dxa"/>
        <w:right w:w="0" w:type="dxa"/>
      </w:tblCellMar>
    </w:tblPr>
  </w:style>
  <w:style w:type="paragraph" w:customStyle="1" w:styleId="24">
    <w:name w:val="Acetate"/>
    <w:basedOn w:val="1"/>
    <w:qFormat/>
    <w:uiPriority w:val="0"/>
    <w:rPr>
      <w:sz w:val="18"/>
      <w:szCs w:val="18"/>
    </w:rPr>
  </w:style>
  <w:style w:type="paragraph" w:customStyle="1" w:styleId="25">
    <w:name w:val="UserStyle_0"/>
    <w:basedOn w:val="1"/>
    <w:qFormat/>
    <w:uiPriority w:val="0"/>
    <w:pPr>
      <w:spacing w:before="100" w:beforeAutospacing="1" w:after="100" w:afterAutospacing="1"/>
      <w:jc w:val="left"/>
    </w:pPr>
    <w:rPr>
      <w:rFonts w:ascii="黑体" w:hAnsi="宋体" w:eastAsia="黑体" w:cs="宋体"/>
      <w:b/>
      <w:bCs/>
      <w:kern w:val="0"/>
      <w:sz w:val="36"/>
      <w:szCs w:val="36"/>
    </w:rPr>
  </w:style>
  <w:style w:type="paragraph" w:customStyle="1" w:styleId="26">
    <w:name w:val="UserStyle_1"/>
    <w:basedOn w:val="1"/>
    <w:qFormat/>
    <w:uiPriority w:val="0"/>
    <w:pPr>
      <w:spacing w:before="100" w:beforeAutospacing="1" w:after="100" w:afterAutospacing="1"/>
      <w:jc w:val="left"/>
    </w:pPr>
    <w:rPr>
      <w:rFonts w:ascii="黑体" w:hAnsi="宋体" w:eastAsia="黑体" w:cs="宋体"/>
      <w:b/>
      <w:bCs/>
      <w:kern w:val="0"/>
      <w:sz w:val="54"/>
      <w:szCs w:val="54"/>
    </w:rPr>
  </w:style>
  <w:style w:type="paragraph" w:customStyle="1" w:styleId="27">
    <w:name w:val="UserStyle_2"/>
    <w:basedOn w:val="1"/>
    <w:qFormat/>
    <w:uiPriority w:val="0"/>
    <w:pPr>
      <w:spacing w:before="100" w:beforeAutospacing="1" w:after="100" w:afterAutospacing="1"/>
      <w:jc w:val="left"/>
    </w:pPr>
    <w:rPr>
      <w:rFonts w:ascii="宋体" w:hAnsi="宋体"/>
      <w:kern w:val="0"/>
      <w:sz w:val="24"/>
    </w:rPr>
  </w:style>
  <w:style w:type="character" w:customStyle="1" w:styleId="28">
    <w:name w:val="UserStyle_3"/>
    <w:basedOn w:val="19"/>
    <w:link w:val="22"/>
    <w:qFormat/>
    <w:uiPriority w:val="0"/>
    <w:rPr>
      <w:rFonts w:ascii="宋体" w:hAnsi="宋体" w:cs="宋体"/>
      <w:b/>
      <w:bCs/>
      <w:kern w:val="36"/>
      <w:sz w:val="48"/>
      <w:szCs w:val="48"/>
    </w:rPr>
  </w:style>
  <w:style w:type="character" w:customStyle="1" w:styleId="29">
    <w:name w:val="UserStyle_4"/>
    <w:basedOn w:val="19"/>
    <w:qFormat/>
    <w:uiPriority w:val="0"/>
  </w:style>
  <w:style w:type="paragraph" w:customStyle="1" w:styleId="30">
    <w:name w:val="HtmlNormal"/>
    <w:basedOn w:val="1"/>
    <w:semiHidden/>
    <w:qFormat/>
    <w:uiPriority w:val="0"/>
    <w:pPr>
      <w:spacing w:before="100" w:beforeAutospacing="1" w:after="100" w:afterAutospacing="1"/>
      <w:jc w:val="left"/>
    </w:pPr>
    <w:rPr>
      <w:rFonts w:ascii="宋体" w:hAnsi="宋体"/>
      <w:kern w:val="0"/>
      <w:sz w:val="24"/>
    </w:rPr>
  </w:style>
  <w:style w:type="character" w:customStyle="1" w:styleId="31">
    <w:name w:val="页脚 Char"/>
    <w:basedOn w:val="16"/>
    <w:link w:val="10"/>
    <w:qFormat/>
    <w:uiPriority w:val="99"/>
    <w:rPr>
      <w:rFonts w:cstheme="minorBidi"/>
      <w:kern w:val="2"/>
      <w:sz w:val="18"/>
      <w:szCs w:val="18"/>
    </w:rPr>
  </w:style>
  <w:style w:type="paragraph" w:customStyle="1" w:styleId="32">
    <w:name w:val="正文-公1"/>
    <w:basedOn w:val="1"/>
    <w:qFormat/>
    <w:uiPriority w:val="99"/>
    <w:pPr>
      <w:ind w:firstLine="200" w:firstLineChars="200"/>
    </w:pPr>
    <w:rPr>
      <w:rFonts w:ascii="Calibri" w:hAnsi="Calibri"/>
    </w:rPr>
  </w:style>
  <w:style w:type="paragraph" w:customStyle="1" w:styleId="33">
    <w:name w:val="Body text|2"/>
    <w:basedOn w:val="1"/>
    <w:qFormat/>
    <w:uiPriority w:val="0"/>
    <w:pPr>
      <w:spacing w:after="300"/>
      <w:ind w:firstLine="740"/>
    </w:pPr>
    <w:rPr>
      <w:rFonts w:ascii="宋体" w:hAnsi="宋体" w:cs="宋体"/>
      <w:sz w:val="26"/>
      <w:szCs w:val="26"/>
      <w:lang w:val="zh-TW" w:eastAsia="zh-TW" w:bidi="zh-TW"/>
    </w:rPr>
  </w:style>
  <w:style w:type="paragraph" w:customStyle="1" w:styleId="34">
    <w:name w:val="正文文本首行缩进 2"/>
    <w:basedOn w:val="3"/>
    <w:qFormat/>
    <w:uiPriority w:val="0"/>
    <w:pPr>
      <w:ind w:firstLine="420" w:firstLineChars="200"/>
    </w:pPr>
    <w:rPr>
      <w:rFonts w:ascii="Calibri" w:hAnsi="Calibri" w:eastAsia="宋体" w:cs="宋体"/>
    </w:rPr>
  </w:style>
  <w:style w:type="paragraph" w:customStyle="1" w:styleId="35">
    <w:name w:val="BodyText2"/>
    <w:basedOn w:val="1"/>
    <w:qFormat/>
    <w:uiPriority w:val="0"/>
    <w:pPr>
      <w:widowControl/>
      <w:spacing w:after="120" w:line="480" w:lineRule="auto"/>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4</Pages>
  <Words>307</Words>
  <Characters>1751</Characters>
  <Lines>14</Lines>
  <Paragraphs>4</Paragraphs>
  <TotalTime>1</TotalTime>
  <ScaleCrop>false</ScaleCrop>
  <LinksUpToDate>false</LinksUpToDate>
  <CharactersWithSpaces>2054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2021-01-14T20:51:00Z</dcterms:created>
  <dc:creator>Administrator</dc:creator>
  <cp:lastModifiedBy>丘丘</cp:lastModifiedBy>
  <cp:lastPrinted>2022-01-08T01:55:00Z</cp:lastPrinted>
  <dcterms:modified xsi:type="dcterms:W3CDTF">2022-01-08T09:40:34Z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0BEFFA9D6DA34548976C4312CA596319</vt:lpwstr>
  </property>
</Properties>
</file>