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before="0" w:beforeAutospacing="0" w:after="0" w:afterAutospacing="0" w:line="600" w:lineRule="exact"/>
        <w:jc w:val="center"/>
        <w:rPr>
          <w:rStyle w:val="17"/>
          <w:rFonts w:ascii="黑体" w:eastAsia="黑体"/>
          <w:sz w:val="44"/>
          <w:szCs w:val="44"/>
        </w:rPr>
      </w:pPr>
      <w:r>
        <w:rPr>
          <w:rStyle w:val="15"/>
          <w:rFonts w:ascii="黑体" w:eastAsia="黑体" w:cs="宋体"/>
          <w:sz w:val="44"/>
          <w:szCs w:val="44"/>
        </w:rPr>
        <w:t>中国人民政治协商会议</w:t>
      </w:r>
    </w:p>
    <w:p>
      <w:pPr>
        <w:pStyle w:val="21"/>
        <w:spacing w:before="0" w:beforeAutospacing="0" w:after="0" w:afterAutospacing="0" w:line="600" w:lineRule="exact"/>
        <w:jc w:val="center"/>
        <w:rPr>
          <w:rStyle w:val="17"/>
          <w:rFonts w:hint="eastAsia"/>
          <w:sz w:val="44"/>
          <w:szCs w:val="44"/>
        </w:rPr>
      </w:pPr>
      <w:r>
        <w:rPr>
          <w:rStyle w:val="17"/>
          <w:sz w:val="44"/>
          <w:szCs w:val="44"/>
        </w:rPr>
        <w:t>黔东南苗族侗族自治州委员会</w:t>
      </w:r>
    </w:p>
    <w:p>
      <w:pPr>
        <w:pStyle w:val="21"/>
        <w:spacing w:before="0" w:beforeAutospacing="0" w:after="0" w:afterAutospacing="0" w:line="600" w:lineRule="exact"/>
        <w:jc w:val="center"/>
        <w:rPr>
          <w:rStyle w:val="17"/>
          <w:rFonts w:hint="eastAsia"/>
          <w:sz w:val="44"/>
          <w:szCs w:val="44"/>
        </w:rPr>
      </w:pPr>
      <w:r>
        <w:rPr>
          <w:rStyle w:val="17"/>
          <w:sz w:val="44"/>
          <w:szCs w:val="44"/>
        </w:rPr>
        <w:t>提</w:t>
      </w:r>
      <w:r>
        <w:rPr>
          <w:rStyle w:val="17"/>
          <w:rFonts w:hint="eastAsia"/>
          <w:sz w:val="44"/>
          <w:szCs w:val="44"/>
        </w:rPr>
        <w:t xml:space="preserve">   </w:t>
      </w:r>
      <w:r>
        <w:rPr>
          <w:rStyle w:val="17"/>
          <w:sz w:val="44"/>
          <w:szCs w:val="44"/>
        </w:rPr>
        <w:t>案</w:t>
      </w:r>
    </w:p>
    <w:p>
      <w:pPr>
        <w:spacing w:line="320" w:lineRule="exact"/>
        <w:jc w:val="center"/>
        <w:textAlignment w:val="top"/>
        <w:rPr>
          <w:rStyle w:val="17"/>
          <w:rFonts w:hint="eastAsia" w:ascii="宋体" w:hAnsi="宋体"/>
          <w:kern w:val="0"/>
          <w:sz w:val="24"/>
        </w:rPr>
      </w:pPr>
    </w:p>
    <w:p>
      <w:pPr>
        <w:spacing w:line="320" w:lineRule="exact"/>
        <w:jc w:val="center"/>
        <w:textAlignment w:val="top"/>
        <w:rPr>
          <w:rStyle w:val="17"/>
          <w:rFonts w:hint="eastAsia" w:ascii="宋体" w:hAnsi="宋体"/>
          <w:kern w:val="0"/>
          <w:sz w:val="24"/>
        </w:rPr>
      </w:pPr>
    </w:p>
    <w:p>
      <w:pPr>
        <w:spacing w:line="760" w:lineRule="exact"/>
        <w:jc w:val="both"/>
        <w:textAlignment w:val="top"/>
        <w:rPr>
          <w:rStyle w:val="17"/>
          <w:rFonts w:ascii="宋体" w:hAnsi="宋体"/>
          <w:kern w:val="0"/>
          <w:sz w:val="24"/>
        </w:rPr>
      </w:pPr>
      <w:r>
        <w:rPr>
          <w:rStyle w:val="17"/>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17"/>
          <w:rFonts w:hint="default" w:ascii="宋体" w:hAnsi="宋体" w:eastAsia="宋体"/>
          <w:kern w:val="0"/>
          <w:sz w:val="24"/>
          <w:lang w:val="en-US" w:eastAsia="zh-CN"/>
        </w:rPr>
      </w:pPr>
      <w:r>
        <w:rPr>
          <w:rStyle w:val="17"/>
          <w:rFonts w:ascii="宋体" w:hAnsi="宋体"/>
          <w:kern w:val="0"/>
          <w:sz w:val="24"/>
        </w:rPr>
        <w:t>第十</w:t>
      </w:r>
      <w:r>
        <w:rPr>
          <w:rStyle w:val="17"/>
          <w:rFonts w:hint="eastAsia" w:ascii="宋体" w:hAnsi="宋体"/>
          <w:kern w:val="0"/>
          <w:sz w:val="24"/>
          <w:lang w:val="en-US" w:eastAsia="zh-CN"/>
        </w:rPr>
        <w:t>三</w:t>
      </w:r>
      <w:r>
        <w:rPr>
          <w:rStyle w:val="17"/>
          <w:rFonts w:ascii="宋体" w:hAnsi="宋体"/>
          <w:kern w:val="0"/>
          <w:sz w:val="24"/>
        </w:rPr>
        <w:t>届第</w:t>
      </w:r>
      <w:r>
        <w:rPr>
          <w:rStyle w:val="17"/>
          <w:rFonts w:hint="eastAsia" w:ascii="宋体" w:hAnsi="宋体"/>
          <w:kern w:val="0"/>
          <w:sz w:val="24"/>
          <w:lang w:val="en-US" w:eastAsia="zh-CN"/>
        </w:rPr>
        <w:t>一</w:t>
      </w:r>
      <w:r>
        <w:rPr>
          <w:rStyle w:val="17"/>
          <w:rFonts w:ascii="宋体" w:hAnsi="宋体"/>
          <w:kern w:val="0"/>
          <w:sz w:val="24"/>
        </w:rPr>
        <w:t>次会议　       　第</w:t>
      </w:r>
      <w:r>
        <w:rPr>
          <w:rStyle w:val="17"/>
          <w:rFonts w:hint="eastAsia" w:ascii="宋体" w:hAnsi="宋体"/>
          <w:kern w:val="0"/>
          <w:sz w:val="24"/>
          <w:lang w:val="en-US" w:eastAsia="zh-CN"/>
        </w:rPr>
        <w:t>012</w:t>
      </w:r>
      <w:r>
        <w:rPr>
          <w:rStyle w:val="17"/>
          <w:rFonts w:ascii="宋体" w:hAnsi="宋体"/>
          <w:kern w:val="0"/>
          <w:sz w:val="24"/>
        </w:rPr>
        <w:t xml:space="preserve">号　    </w:t>
      </w:r>
      <w:r>
        <w:rPr>
          <w:rStyle w:val="17"/>
          <w:rFonts w:hint="eastAsia" w:ascii="宋体" w:hAnsi="宋体"/>
          <w:kern w:val="0"/>
          <w:sz w:val="24"/>
        </w:rPr>
        <w:t xml:space="preserve">    </w:t>
      </w:r>
      <w:r>
        <w:rPr>
          <w:rStyle w:val="17"/>
          <w:rFonts w:hint="eastAsia" w:ascii="宋体" w:hAnsi="宋体"/>
          <w:kern w:val="0"/>
          <w:sz w:val="24"/>
          <w:lang w:val="en-US" w:eastAsia="zh-CN"/>
        </w:rPr>
        <w:t xml:space="preserve"> 类别：经济建设类     </w:t>
      </w:r>
    </w:p>
    <w:p>
      <w:pPr>
        <w:spacing w:line="320" w:lineRule="exact"/>
        <w:jc w:val="left"/>
        <w:rPr>
          <w:rStyle w:val="17"/>
          <w:rFonts w:ascii="宋体" w:hAnsi="宋体"/>
          <w:kern w:val="0"/>
          <w:sz w:val="24"/>
        </w:rPr>
      </w:pPr>
      <w:r>
        <w:rPr>
          <w:rStyle w:val="17"/>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13"/>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7"/>
                <w:rFonts w:ascii="宋体" w:hAnsi="宋体"/>
                <w:kern w:val="0"/>
                <w:sz w:val="24"/>
              </w:rPr>
            </w:pPr>
            <w:r>
              <w:rPr>
                <w:rStyle w:val="17"/>
                <w:rFonts w:ascii="黑体" w:hAnsi="宋体" w:eastAsia="黑体" w:cs="宋体"/>
                <w:b/>
                <w:bCs/>
                <w:kern w:val="0"/>
                <w:sz w:val="24"/>
              </w:rPr>
              <w:t>案</w:t>
            </w:r>
            <w:r>
              <w:rPr>
                <w:rStyle w:val="17"/>
                <w:rFonts w:ascii="宋体" w:hAnsi="宋体" w:eastAsia="黑体" w:cs="宋体"/>
                <w:b/>
                <w:bCs/>
                <w:kern w:val="0"/>
                <w:sz w:val="24"/>
              </w:rPr>
              <w:t>  </w:t>
            </w:r>
            <w:r>
              <w:rPr>
                <w:rStyle w:val="17"/>
                <w:rFonts w:ascii="黑体" w:hAnsi="宋体" w:eastAsia="黑体" w:cs="宋体"/>
                <w:b/>
                <w:bCs/>
                <w:kern w:val="0"/>
                <w:sz w:val="24"/>
              </w:rPr>
              <w:t>由</w:t>
            </w:r>
            <w:r>
              <w:rPr>
                <w:rStyle w:val="17"/>
                <w:rFonts w:ascii="宋体" w:hAnsi="宋体" w:cs="宋体"/>
                <w:b/>
                <w:bCs/>
                <w:kern w:val="0"/>
                <w:sz w:val="24"/>
              </w:rPr>
              <w:t>：</w:t>
            </w:r>
          </w:p>
        </w:tc>
        <w:tc>
          <w:tcPr>
            <w:tcW w:w="6797" w:type="dxa"/>
            <w:gridSpan w:val="3"/>
            <w:vAlign w:val="center"/>
          </w:tcPr>
          <w:p>
            <w:pPr>
              <w:jc w:val="left"/>
              <w:rPr>
                <w:rStyle w:val="17"/>
                <w:rFonts w:ascii="宋体" w:hAnsi="宋体" w:cs="宋体"/>
                <w:b/>
                <w:bCs/>
                <w:kern w:val="0"/>
                <w:sz w:val="24"/>
              </w:rPr>
            </w:pPr>
            <w:r>
              <w:rPr>
                <w:rFonts w:hint="eastAsia" w:ascii="Times New Roman" w:hAnsi="Times New Roman" w:eastAsia="宋体" w:cs="Times New Roman"/>
                <w:b/>
                <w:bCs/>
                <w:kern w:val="0"/>
                <w:sz w:val="22"/>
                <w:szCs w:val="22"/>
                <w:lang w:val="en-US" w:eastAsia="zh-CN"/>
              </w:rPr>
              <w:t>关于推动州中药材产业高质量发展的建议</w:t>
            </w:r>
          </w:p>
        </w:tc>
      </w:tr>
      <w:tr>
        <w:tblPrEx>
          <w:tblCellMar>
            <w:top w:w="0" w:type="dxa"/>
            <w:left w:w="15" w:type="dxa"/>
            <w:bottom w:w="0" w:type="dxa"/>
            <w:right w:w="15" w:type="dxa"/>
          </w:tblCellMar>
        </w:tblPrEx>
        <w:tc>
          <w:tcPr>
            <w:tcW w:w="1753" w:type="dxa"/>
            <w:vAlign w:val="center"/>
          </w:tcPr>
          <w:p>
            <w:pPr>
              <w:jc w:val="left"/>
              <w:rPr>
                <w:rStyle w:val="17"/>
                <w:rFonts w:ascii="宋体" w:hAnsi="宋体"/>
                <w:kern w:val="0"/>
                <w:sz w:val="24"/>
              </w:rPr>
            </w:pPr>
            <w:r>
              <w:rPr>
                <w:rStyle w:val="17"/>
                <w:rFonts w:ascii="黑体" w:hAnsi="宋体" w:eastAsia="黑体" w:cs="宋体"/>
                <w:b/>
                <w:bCs/>
                <w:kern w:val="0"/>
                <w:sz w:val="24"/>
              </w:rPr>
              <w:t>审查意见</w:t>
            </w:r>
            <w:r>
              <w:rPr>
                <w:rStyle w:val="17"/>
                <w:rFonts w:ascii="宋体" w:hAnsi="宋体" w:cs="宋体"/>
                <w:b/>
                <w:bCs/>
                <w:kern w:val="0"/>
                <w:sz w:val="24"/>
              </w:rPr>
              <w:t>：</w:t>
            </w:r>
          </w:p>
        </w:tc>
        <w:tc>
          <w:tcPr>
            <w:tcW w:w="6797" w:type="dxa"/>
            <w:gridSpan w:val="3"/>
            <w:vAlign w:val="center"/>
          </w:tcPr>
          <w:p>
            <w:pPr>
              <w:jc w:val="left"/>
              <w:rPr>
                <w:rStyle w:val="17"/>
                <w:rFonts w:hint="default" w:ascii="宋体" w:hAnsi="宋体"/>
                <w:kern w:val="0"/>
                <w:sz w:val="24"/>
                <w:lang w:val="en-US" w:eastAsia="zh-CN"/>
              </w:rPr>
            </w:pPr>
            <w:r>
              <w:rPr>
                <w:rStyle w:val="17"/>
                <w:rFonts w:hint="eastAsia" w:ascii="宋体" w:hAnsi="宋体"/>
                <w:kern w:val="0"/>
                <w:sz w:val="24"/>
                <w:szCs w:val="24"/>
                <w:lang w:eastAsia="zh-CN"/>
              </w:rPr>
              <w:t>主办：州农业农村局</w:t>
            </w:r>
            <w:r>
              <w:rPr>
                <w:rStyle w:val="17"/>
                <w:rFonts w:hint="eastAsia" w:ascii="宋体" w:hAnsi="宋体"/>
                <w:kern w:val="0"/>
                <w:sz w:val="24"/>
                <w:szCs w:val="24"/>
                <w:lang w:val="en-US" w:eastAsia="zh-CN"/>
              </w:rPr>
              <w:t xml:space="preserve">   会办：州投资促进局、州工信局</w:t>
            </w:r>
            <w:bookmarkStart w:id="0" w:name="_GoBack"/>
            <w:bookmarkEnd w:id="0"/>
          </w:p>
        </w:tc>
      </w:tr>
      <w:tr>
        <w:tblPrEx>
          <w:tblCellMar>
            <w:top w:w="0" w:type="dxa"/>
            <w:left w:w="15" w:type="dxa"/>
            <w:bottom w:w="0" w:type="dxa"/>
            <w:right w:w="15" w:type="dxa"/>
          </w:tblCellMar>
        </w:tblPrEx>
        <w:tc>
          <w:tcPr>
            <w:tcW w:w="1753" w:type="dxa"/>
            <w:vAlign w:val="center"/>
          </w:tcPr>
          <w:p>
            <w:pPr>
              <w:jc w:val="left"/>
              <w:rPr>
                <w:rStyle w:val="17"/>
                <w:rFonts w:ascii="黑体" w:hAnsi="宋体" w:eastAsia="黑体"/>
                <w:kern w:val="0"/>
                <w:sz w:val="24"/>
              </w:rPr>
            </w:pPr>
            <w:r>
              <w:rPr>
                <w:rStyle w:val="17"/>
                <w:rFonts w:ascii="黑体" w:hAnsi="宋体" w:eastAsia="黑体" w:cs="宋体"/>
                <w:b/>
                <w:bCs/>
                <w:kern w:val="0"/>
                <w:sz w:val="24"/>
              </w:rPr>
              <w:t>提</w:t>
            </w:r>
            <w:r>
              <w:rPr>
                <w:rStyle w:val="17"/>
                <w:rFonts w:hint="eastAsia" w:ascii="黑体" w:hAnsi="宋体" w:eastAsia="黑体" w:cs="宋体"/>
                <w:b/>
                <w:bCs/>
                <w:kern w:val="0"/>
                <w:sz w:val="24"/>
                <w:lang w:val="en-US" w:eastAsia="zh-CN"/>
              </w:rPr>
              <w:t xml:space="preserve"> </w:t>
            </w:r>
            <w:r>
              <w:rPr>
                <w:rStyle w:val="17"/>
                <w:rFonts w:ascii="黑体" w:hAnsi="宋体" w:eastAsia="黑体" w:cs="宋体"/>
                <w:b/>
                <w:bCs/>
                <w:kern w:val="0"/>
                <w:sz w:val="24"/>
              </w:rPr>
              <w:t>案</w:t>
            </w:r>
            <w:r>
              <w:rPr>
                <w:rStyle w:val="17"/>
                <w:rFonts w:hint="eastAsia" w:ascii="黑体" w:hAnsi="宋体" w:eastAsia="黑体" w:cs="宋体"/>
                <w:b/>
                <w:bCs/>
                <w:kern w:val="0"/>
                <w:sz w:val="24"/>
                <w:lang w:val="en-US" w:eastAsia="zh-CN"/>
              </w:rPr>
              <w:t xml:space="preserve"> </w:t>
            </w:r>
            <w:r>
              <w:rPr>
                <w:rStyle w:val="17"/>
                <w:rFonts w:ascii="黑体" w:hAnsi="宋体" w:eastAsia="黑体" w:cs="宋体"/>
                <w:b/>
                <w:bCs/>
                <w:kern w:val="0"/>
                <w:sz w:val="24"/>
              </w:rPr>
              <w:t>人</w:t>
            </w:r>
            <w:r>
              <w:rPr>
                <w:rStyle w:val="17"/>
                <w:rFonts w:ascii="宋体" w:hAnsi="宋体" w:eastAsia="黑体" w:cs="宋体"/>
                <w:b/>
                <w:bCs/>
                <w:kern w:val="0"/>
                <w:sz w:val="24"/>
              </w:rPr>
              <w:t>：</w:t>
            </w:r>
          </w:p>
        </w:tc>
        <w:tc>
          <w:tcPr>
            <w:tcW w:w="3872" w:type="dxa"/>
            <w:vAlign w:val="center"/>
          </w:tcPr>
          <w:p>
            <w:pPr>
              <w:jc w:val="left"/>
              <w:rPr>
                <w:rStyle w:val="17"/>
                <w:rFonts w:ascii="宋体" w:hAnsi="宋体"/>
                <w:kern w:val="0"/>
                <w:sz w:val="24"/>
              </w:rPr>
            </w:pPr>
            <w:r>
              <w:rPr>
                <w:rStyle w:val="17"/>
                <w:rFonts w:ascii="宋体" w:hAnsi="宋体" w:cs="宋体"/>
                <w:b/>
                <w:bCs/>
                <w:kern w:val="0"/>
                <w:sz w:val="24"/>
              </w:rPr>
              <w:t>通讯地址</w:t>
            </w:r>
          </w:p>
        </w:tc>
        <w:tc>
          <w:tcPr>
            <w:tcW w:w="1440" w:type="dxa"/>
            <w:vAlign w:val="center"/>
          </w:tcPr>
          <w:p>
            <w:pPr>
              <w:jc w:val="left"/>
              <w:rPr>
                <w:rStyle w:val="17"/>
                <w:rFonts w:ascii="宋体" w:hAnsi="宋体"/>
                <w:kern w:val="0"/>
                <w:sz w:val="24"/>
              </w:rPr>
            </w:pPr>
            <w:r>
              <w:rPr>
                <w:rStyle w:val="17"/>
                <w:rFonts w:ascii="宋体" w:hAnsi="宋体" w:cs="宋体"/>
                <w:b/>
                <w:bCs/>
                <w:kern w:val="0"/>
                <w:sz w:val="24"/>
              </w:rPr>
              <w:t>邮政编码</w:t>
            </w:r>
          </w:p>
        </w:tc>
        <w:tc>
          <w:tcPr>
            <w:tcW w:w="1485" w:type="dxa"/>
            <w:vAlign w:val="center"/>
          </w:tcPr>
          <w:p>
            <w:pPr>
              <w:jc w:val="left"/>
              <w:rPr>
                <w:rStyle w:val="17"/>
                <w:rFonts w:ascii="宋体" w:hAnsi="宋体"/>
                <w:kern w:val="0"/>
                <w:sz w:val="24"/>
              </w:rPr>
            </w:pPr>
            <w:r>
              <w:rPr>
                <w:rStyle w:val="17"/>
                <w:rFonts w:ascii="宋体" w:hAnsi="宋体" w:cs="宋体"/>
                <w:b/>
                <w:bCs/>
                <w:kern w:val="0"/>
                <w:sz w:val="24"/>
              </w:rPr>
              <w:t>联系电话</w:t>
            </w:r>
          </w:p>
        </w:tc>
      </w:tr>
      <w:tr>
        <w:tc>
          <w:tcPr>
            <w:tcW w:w="1753" w:type="dxa"/>
            <w:vAlign w:val="center"/>
          </w:tcPr>
          <w:p>
            <w:pPr>
              <w:jc w:val="left"/>
              <w:rPr>
                <w:rStyle w:val="17"/>
                <w:rFonts w:hint="eastAsia" w:ascii="宋体" w:hAnsi="宋体" w:eastAsia="宋体"/>
                <w:kern w:val="0"/>
                <w:sz w:val="24"/>
                <w:lang w:eastAsia="zh-CN"/>
              </w:rPr>
            </w:pPr>
            <w:r>
              <w:rPr>
                <w:rStyle w:val="17"/>
                <w:rFonts w:hint="eastAsia" w:ascii="宋体" w:hAnsi="宋体"/>
                <w:kern w:val="0"/>
                <w:sz w:val="21"/>
                <w:szCs w:val="21"/>
                <w:lang w:eastAsia="zh-CN"/>
              </w:rPr>
              <w:t>农工党黔东南州工委</w:t>
            </w:r>
          </w:p>
        </w:tc>
        <w:tc>
          <w:tcPr>
            <w:tcW w:w="3872" w:type="dxa"/>
            <w:vAlign w:val="center"/>
          </w:tcPr>
          <w:p>
            <w:pPr>
              <w:jc w:val="left"/>
              <w:rPr>
                <w:rStyle w:val="17"/>
                <w:rFonts w:hint="default" w:ascii="宋体" w:hAnsi="宋体" w:eastAsia="宋体"/>
                <w:kern w:val="0"/>
                <w:sz w:val="24"/>
                <w:lang w:val="en-US" w:eastAsia="zh-CN"/>
              </w:rPr>
            </w:pPr>
            <w:r>
              <w:rPr>
                <w:rStyle w:val="17"/>
                <w:rFonts w:hint="eastAsia" w:ascii="宋体" w:hAnsi="宋体"/>
                <w:kern w:val="0"/>
                <w:sz w:val="24"/>
                <w:lang w:val="en-US" w:eastAsia="zh-CN"/>
              </w:rPr>
              <w:t>农工党黔东南州工委</w:t>
            </w:r>
          </w:p>
        </w:tc>
        <w:tc>
          <w:tcPr>
            <w:tcW w:w="1440" w:type="dxa"/>
            <w:vAlign w:val="center"/>
          </w:tcPr>
          <w:p>
            <w:pPr>
              <w:jc w:val="left"/>
              <w:rPr>
                <w:rStyle w:val="17"/>
                <w:rFonts w:hint="default" w:ascii="宋体" w:hAnsi="宋体" w:eastAsia="宋体"/>
                <w:kern w:val="0"/>
                <w:sz w:val="24"/>
                <w:lang w:val="en-US" w:eastAsia="zh-CN"/>
              </w:rPr>
            </w:pPr>
            <w:r>
              <w:rPr>
                <w:rStyle w:val="17"/>
                <w:rFonts w:hint="eastAsia" w:ascii="宋体" w:hAnsi="宋体"/>
                <w:kern w:val="0"/>
                <w:sz w:val="24"/>
              </w:rPr>
              <w:t>55</w:t>
            </w:r>
            <w:r>
              <w:rPr>
                <w:rStyle w:val="17"/>
                <w:rFonts w:hint="eastAsia" w:ascii="宋体" w:hAnsi="宋体"/>
                <w:kern w:val="0"/>
                <w:sz w:val="24"/>
                <w:lang w:val="en-US" w:eastAsia="zh-CN"/>
              </w:rPr>
              <w:t>6000</w:t>
            </w:r>
          </w:p>
        </w:tc>
        <w:tc>
          <w:tcPr>
            <w:tcW w:w="1485" w:type="dxa"/>
            <w:vAlign w:val="center"/>
          </w:tcPr>
          <w:p>
            <w:pPr>
              <w:jc w:val="left"/>
              <w:rPr>
                <w:rStyle w:val="17"/>
                <w:rFonts w:hint="default" w:ascii="宋体" w:hAnsi="宋体" w:eastAsia="宋体"/>
                <w:kern w:val="0"/>
                <w:sz w:val="24"/>
                <w:lang w:val="en-US" w:eastAsia="zh-CN"/>
              </w:rPr>
            </w:pPr>
            <w:r>
              <w:rPr>
                <w:rStyle w:val="17"/>
                <w:rFonts w:hint="eastAsia" w:ascii="宋体" w:hAnsi="宋体"/>
                <w:kern w:val="0"/>
                <w:sz w:val="24"/>
                <w:lang w:val="en-US" w:eastAsia="zh-CN"/>
              </w:rPr>
              <w:t>13765529333</w:t>
            </w:r>
          </w:p>
        </w:tc>
      </w:tr>
      <w:tr>
        <w:tblPrEx>
          <w:tblCellMar>
            <w:top w:w="0" w:type="dxa"/>
            <w:left w:w="15" w:type="dxa"/>
            <w:bottom w:w="0" w:type="dxa"/>
            <w:right w:w="15" w:type="dxa"/>
          </w:tblCellMar>
        </w:tblPrEx>
        <w:tc>
          <w:tcPr>
            <w:tcW w:w="1753" w:type="dxa"/>
            <w:vAlign w:val="center"/>
          </w:tcPr>
          <w:p>
            <w:pPr>
              <w:jc w:val="left"/>
              <w:rPr>
                <w:rStyle w:val="17"/>
                <w:rFonts w:hint="eastAsia" w:ascii="宋体" w:hAnsi="宋体" w:eastAsia="宋体"/>
                <w:kern w:val="0"/>
                <w:sz w:val="24"/>
                <w:lang w:eastAsia="zh-CN"/>
              </w:rPr>
            </w:pPr>
            <w:r>
              <w:rPr>
                <w:rStyle w:val="17"/>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17"/>
                <w:rFonts w:hint="eastAsia" w:ascii="宋体" w:hAnsi="宋体"/>
                <w:kern w:val="0"/>
                <w:sz w:val="24"/>
                <w:lang w:val="en-US" w:eastAsia="zh-CN"/>
              </w:rPr>
            </w:pPr>
            <w:r>
              <w:rPr>
                <w:rStyle w:val="17"/>
                <w:rFonts w:hint="eastAsia" w:ascii="宋体" w:hAnsi="宋体"/>
                <w:kern w:val="0"/>
                <w:sz w:val="24"/>
                <w:lang w:eastAsia="zh-CN"/>
              </w:rPr>
              <w:t>州委办秘书五科：</w:t>
            </w:r>
            <w:r>
              <w:rPr>
                <w:rStyle w:val="17"/>
                <w:rFonts w:hint="eastAsia" w:ascii="宋体" w:hAnsi="宋体"/>
                <w:kern w:val="0"/>
                <w:sz w:val="24"/>
                <w:lang w:val="en-US" w:eastAsia="zh-CN"/>
              </w:rPr>
              <w:t>8270060；</w:t>
            </w:r>
            <w:r>
              <w:rPr>
                <w:rStyle w:val="17"/>
                <w:rFonts w:hint="eastAsia" w:ascii="宋体" w:hAnsi="宋体"/>
                <w:kern w:val="0"/>
                <w:sz w:val="24"/>
                <w:lang w:eastAsia="zh-CN"/>
              </w:rPr>
              <w:t>州政府办建议提案科：</w:t>
            </w:r>
            <w:r>
              <w:rPr>
                <w:rStyle w:val="17"/>
                <w:rFonts w:hint="eastAsia" w:ascii="宋体" w:hAnsi="宋体"/>
                <w:kern w:val="0"/>
                <w:sz w:val="24"/>
                <w:lang w:val="en-US" w:eastAsia="zh-CN"/>
              </w:rPr>
              <w:t>8260016；</w:t>
            </w:r>
          </w:p>
          <w:p>
            <w:pPr>
              <w:jc w:val="left"/>
              <w:rPr>
                <w:rStyle w:val="17"/>
                <w:rFonts w:hint="default" w:ascii="宋体" w:hAnsi="宋体"/>
                <w:kern w:val="0"/>
                <w:sz w:val="24"/>
                <w:lang w:val="en-US"/>
              </w:rPr>
            </w:pPr>
            <w:r>
              <w:rPr>
                <w:rStyle w:val="17"/>
                <w:rFonts w:hint="eastAsia" w:ascii="宋体" w:hAnsi="宋体"/>
                <w:kern w:val="0"/>
                <w:sz w:val="24"/>
                <w:lang w:eastAsia="zh-CN"/>
              </w:rPr>
              <w:t>州政协提案委：</w:t>
            </w:r>
            <w:r>
              <w:rPr>
                <w:rStyle w:val="17"/>
                <w:rFonts w:hint="eastAsia" w:ascii="宋体" w:hAnsi="宋体"/>
                <w:kern w:val="0"/>
                <w:sz w:val="24"/>
                <w:lang w:val="en-US" w:eastAsia="zh-CN"/>
              </w:rPr>
              <w:t>8428866</w:t>
            </w:r>
            <w:r>
              <w:rPr>
                <w:rStyle w:val="17"/>
                <w:rFonts w:hint="eastAsia" w:ascii="宋体" w:hAnsi="宋体"/>
                <w:kern w:val="0"/>
                <w:sz w:val="24"/>
                <w:lang w:eastAsia="zh-CN"/>
              </w:rPr>
              <w:t>。</w:t>
            </w:r>
          </w:p>
        </w:tc>
      </w:tr>
    </w:tbl>
    <w:p>
      <w:pPr>
        <w:jc w:val="left"/>
        <w:rPr>
          <w:rStyle w:val="17"/>
          <w:rFonts w:ascii="宋体" w:hAnsi="宋体"/>
          <w:kern w:val="0"/>
          <w:sz w:val="24"/>
        </w:rPr>
      </w:pPr>
      <w:r>
        <w:rPr>
          <w:rStyle w:val="17"/>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560" w:lineRule="exact"/>
        <w:rPr>
          <w:rStyle w:val="17"/>
          <w:rFonts w:hint="eastAsia" w:ascii="仿宋_GB2312" w:hAnsi="宋体" w:eastAsia="仿宋_GB2312"/>
          <w:kern w:val="0"/>
          <w:sz w:val="32"/>
          <w:szCs w:val="32"/>
        </w:rPr>
      </w:pPr>
      <w:r>
        <w:rPr>
          <w:rStyle w:val="17"/>
          <w:rFonts w:hint="eastAsia" w:ascii="仿宋_GB2312" w:hAnsi="宋体" w:eastAsia="仿宋_GB2312"/>
          <w:kern w:val="0"/>
          <w:sz w:val="32"/>
          <w:szCs w:val="32"/>
        </w:rPr>
        <w:t>内容和办法</w:t>
      </w:r>
      <w:r>
        <w:rPr>
          <w:rStyle w:val="17"/>
          <w:rFonts w:hint="eastAsia" w:ascii="仿宋_GB2312" w:hAnsi="宋体" w:eastAsia="仿宋_GB2312"/>
          <w:kern w:val="0"/>
          <w:sz w:val="32"/>
          <w:szCs w:val="32"/>
          <w:lang w:eastAsia="zh-CN"/>
        </w:rPr>
        <w:t>：</w:t>
      </w:r>
    </w:p>
    <w:p>
      <w:pPr>
        <w:spacing w:line="560" w:lineRule="exact"/>
        <w:ind w:left="0" w:leftChars="0" w:firstLine="640" w:firstLineChars="200"/>
        <w:rPr>
          <w:rStyle w:val="17"/>
          <w:rFonts w:hint="eastAsia" w:ascii="方正黑体_GBK" w:hAnsi="方正黑体_GBK" w:eastAsia="方正黑体_GBK" w:cs="方正黑体_GBK"/>
          <w:kern w:val="0"/>
          <w:sz w:val="32"/>
          <w:szCs w:val="32"/>
        </w:rPr>
      </w:pPr>
      <w:r>
        <w:rPr>
          <w:rStyle w:val="17"/>
          <w:rFonts w:hint="eastAsia" w:ascii="方正黑体_GBK" w:hAnsi="方正黑体_GBK" w:eastAsia="方正黑体_GBK" w:cs="方正黑体_GBK"/>
          <w:kern w:val="0"/>
          <w:sz w:val="32"/>
          <w:szCs w:val="32"/>
          <w:lang w:eastAsia="zh-CN"/>
        </w:rPr>
        <w:t>一、</w:t>
      </w:r>
      <w:r>
        <w:rPr>
          <w:rStyle w:val="17"/>
          <w:rFonts w:hint="eastAsia" w:ascii="方正黑体_GBK" w:hAnsi="方正黑体_GBK" w:eastAsia="方正黑体_GBK" w:cs="方正黑体_GBK"/>
          <w:kern w:val="0"/>
          <w:sz w:val="32"/>
          <w:szCs w:val="32"/>
        </w:rPr>
        <w:t>黔东南州中药材产业发展概况</w:t>
      </w:r>
    </w:p>
    <w:p>
      <w:pPr>
        <w:spacing w:line="560" w:lineRule="exact"/>
        <w:ind w:left="0" w:leftChars="0" w:firstLine="640" w:firstLineChars="200"/>
        <w:rPr>
          <w:rStyle w:val="17"/>
          <w:rFonts w:hint="eastAsia" w:ascii="仿宋_GB2312" w:hAnsi="宋体" w:eastAsia="仿宋_GB2312"/>
          <w:kern w:val="0"/>
          <w:sz w:val="32"/>
          <w:szCs w:val="32"/>
        </w:rPr>
      </w:pPr>
      <w:r>
        <w:rPr>
          <w:rStyle w:val="17"/>
          <w:rFonts w:hint="eastAsia" w:ascii="仿宋_GB2312" w:hAnsi="宋体" w:eastAsia="仿宋_GB2312"/>
          <w:kern w:val="0"/>
          <w:sz w:val="32"/>
          <w:szCs w:val="32"/>
        </w:rPr>
        <w:t>黔东南州是贵州中药材主产区，素有“中国的药园在贵州，贵州药园在黔东南”之说。目前全州已查明中药资源共有2831种，其中药用植物2656种，动物药154种，矿物药21种。药用植物种类分别占全国、全省药用植物种类的23.8%和67.7%。全州中药材总蕴藏量达1080万吨，藏量占全省的59.2%，是全省和全国地道药材主产区，被誉为“天然药库”。我州的茯苓、何首乌、天麻、桔梗、前胡等几十味地道药材一直闻名省内外，道地药材的种类位居全省之冠。</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（一）种植规模逐步扩大，产业带初步形成</w:t>
      </w:r>
      <w:r>
        <w:rPr>
          <w:rStyle w:val="17"/>
          <w:rFonts w:hint="eastAsia" w:ascii="仿宋_GB2312" w:hAnsi="宋体" w:eastAsia="仿宋_GB2312"/>
          <w:b/>
          <w:bCs/>
          <w:kern w:val="0"/>
          <w:sz w:val="32"/>
          <w:szCs w:val="32"/>
          <w:lang w:eastAsia="zh-CN"/>
        </w:rPr>
        <w:t>。</w:t>
      </w:r>
      <w:r>
        <w:rPr>
          <w:rStyle w:val="17"/>
          <w:rFonts w:hint="eastAsia" w:ascii="仿宋_GB2312" w:hAnsi="宋体" w:eastAsia="仿宋_GB2312"/>
          <w:kern w:val="0"/>
          <w:sz w:val="32"/>
          <w:szCs w:val="32"/>
          <w:lang w:eastAsia="zh-CN"/>
        </w:rPr>
        <w:t>至</w:t>
      </w:r>
      <w:r>
        <w:rPr>
          <w:rStyle w:val="17"/>
          <w:rFonts w:hint="eastAsia" w:ascii="仿宋_GB2312" w:hAnsi="宋体" w:eastAsia="仿宋_GB2312"/>
          <w:kern w:val="0"/>
          <w:sz w:val="32"/>
          <w:szCs w:val="32"/>
        </w:rPr>
        <w:t>2021年10月底，全州中药材种植面积完成122.89万亩，同比增长15.17%；鲜品总产量31.80万吨，同比增长69.07%；综合总产值48亿元。其中重点品种钩藤41.71万亩、太子参19.70万亩、天麻6.70万亩、黄精6.57万亩、草珊瑚6.39万亩、茯苓3.56万亩、铁皮石斛3.05万亩，白及2.86万亩。目前基本形成了以剑河、锦屏、黎平、从江为中心的钩藤产业带，以施秉、黄平为中心的太子参产业带，以黎平、剑河为中心的茯苓产业带，以黄平、三穗、天柱为中心的白及产业带，以雷山、黎平、镇远为中心的天麻产业带，以岑巩为中心的黄精产业带，以榕江为中心的草珊瑚产业带，以锦屏、从江、三穗为中心的铁皮石斛产业带。</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（二）繁育基地数量增加，良种繁育能力提升</w:t>
      </w:r>
      <w:r>
        <w:rPr>
          <w:rStyle w:val="17"/>
          <w:rFonts w:hint="eastAsia" w:ascii="仿宋_GB2312" w:hAnsi="宋体" w:eastAsia="仿宋_GB2312"/>
          <w:b/>
          <w:bCs/>
          <w:kern w:val="0"/>
          <w:sz w:val="32"/>
          <w:szCs w:val="32"/>
          <w:lang w:eastAsia="zh-CN"/>
        </w:rPr>
        <w:t>。</w:t>
      </w:r>
      <w:r>
        <w:rPr>
          <w:rStyle w:val="17"/>
          <w:rFonts w:hint="eastAsia" w:ascii="仿宋_GB2312" w:hAnsi="宋体" w:eastAsia="仿宋_GB2312"/>
          <w:kern w:val="0"/>
          <w:sz w:val="32"/>
          <w:szCs w:val="32"/>
        </w:rPr>
        <w:t>全州围绕种子种苗基地建设，发展基地76个，可推广种植面积25.51万亩。重点建设有丹寨县西南地区药用植物种苗繁育国家地方联合工程研究中心、黄平县珍稀药用植物良种繁育中心、锦屏县铁皮石斛种苗繁育基地、从江县箭叶淫羊藿标准化种子种苗繁育基地等良种繁育中心（基地），种苗繁育能力、优良种子种苗供应能力得到了提升。</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（三）种植模式不断创新，基地向规模化发展</w:t>
      </w:r>
      <w:r>
        <w:rPr>
          <w:rStyle w:val="17"/>
          <w:rFonts w:hint="eastAsia" w:ascii="仿宋_GB2312" w:hAnsi="宋体" w:eastAsia="仿宋_GB2312"/>
          <w:b/>
          <w:bCs/>
          <w:kern w:val="0"/>
          <w:sz w:val="32"/>
          <w:szCs w:val="32"/>
          <w:lang w:eastAsia="zh-CN"/>
        </w:rPr>
        <w:t>。</w:t>
      </w:r>
      <w:r>
        <w:rPr>
          <w:rStyle w:val="17"/>
          <w:rFonts w:hint="eastAsia" w:ascii="仿宋_GB2312" w:hAnsi="宋体" w:eastAsia="仿宋_GB2312"/>
          <w:kern w:val="0"/>
          <w:sz w:val="32"/>
          <w:szCs w:val="32"/>
        </w:rPr>
        <w:t>通过大力发展林下中药材种植，发展林药、果药种植模式，充分利用了我州丰富的林地资源，解决了我州耕地不足、各个产业发展相互争地的问题。同时，基地由过去一家一户的分散种植向规模化发展。建成100亩以上相对集中连片基地（含林下生态种植基地）598个，总面积达42.61万亩，规模化基地占总面积的34.67%。</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（四）经营主体数量增加，产业化水平不断提升</w:t>
      </w:r>
      <w:r>
        <w:rPr>
          <w:rStyle w:val="17"/>
          <w:rFonts w:hint="eastAsia" w:ascii="仿宋_GB2312" w:hAnsi="宋体" w:eastAsia="仿宋_GB2312"/>
          <w:b/>
          <w:bCs/>
          <w:kern w:val="0"/>
          <w:sz w:val="32"/>
          <w:szCs w:val="32"/>
          <w:lang w:eastAsia="zh-CN"/>
        </w:rPr>
        <w:t>。</w:t>
      </w:r>
      <w:r>
        <w:rPr>
          <w:rStyle w:val="17"/>
          <w:rFonts w:hint="eastAsia" w:ascii="仿宋_GB2312" w:hAnsi="宋体" w:eastAsia="仿宋_GB2312"/>
          <w:kern w:val="0"/>
          <w:sz w:val="32"/>
          <w:szCs w:val="32"/>
        </w:rPr>
        <w:t>一方面培育一批龙头企业、专业合作社、家庭农场、种植大户、经纪人等新型经营主体，创新利益联接机制。目前，全州参与中药材种植生产经营企业158家，合作社、家庭农场等经营主体447个。另一方面紧紧围绕产业建链、补链、延链要求开展招商引资，引进黄平县中药材生产加工及交易市场项目、锦屏县石斛加工、黎平县中药材加工项目等中药材产业项目。建成了产地加工基地（点）51家，年总加工干品能力3.92万吨。</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（五）种植技术不断提高，品牌影响逐渐提升</w:t>
      </w:r>
      <w:r>
        <w:rPr>
          <w:rStyle w:val="17"/>
          <w:rFonts w:hint="eastAsia" w:ascii="仿宋_GB2312" w:hAnsi="宋体" w:eastAsia="仿宋_GB2312"/>
          <w:b/>
          <w:bCs/>
          <w:kern w:val="0"/>
          <w:sz w:val="32"/>
          <w:szCs w:val="32"/>
          <w:lang w:eastAsia="zh-CN"/>
        </w:rPr>
        <w:t>。</w:t>
      </w:r>
      <w:r>
        <w:rPr>
          <w:rStyle w:val="17"/>
          <w:rFonts w:hint="eastAsia" w:ascii="仿宋_GB2312" w:hAnsi="宋体" w:eastAsia="仿宋_GB2312"/>
          <w:kern w:val="0"/>
          <w:sz w:val="32"/>
          <w:szCs w:val="32"/>
        </w:rPr>
        <w:t xml:space="preserve">一是在“黔太子参1号”“施太1号”的基础上。利用我州特色资源，围绕“优质、高抗、高产”的育种目标，联合选育的“贵参1号”、“贵钩1号”、“锦斛1号”通过贵州省2021年第一批中药材新品种认定。从“源头”上保证药材的品质和质量。二是牵头制定的《太子参种子种根》和《太子参种植技术规范》通过国家标准化管理委员会评审成为国家标准。编制的《地理标志产品 黎平茯苓种植技术规程》等多项贵州省地方标准、黔东南州地方标准通过发布实施，药材种植有了标准作为依据。三是全力开展产品认证，积极推进道地药材品牌建设。施秉太子参、施秉头花蓼、剑河钩藤、雷山乌杆天麻、黎平茯苓、榕江葛根、黄平白及先后获得国家地理标志认证；镇远天麻品种获得国家生态原产地认证。 </w:t>
      </w:r>
    </w:p>
    <w:p>
      <w:pPr>
        <w:spacing w:line="560" w:lineRule="exact"/>
        <w:ind w:left="0" w:leftChars="0" w:firstLine="640" w:firstLineChars="200"/>
        <w:rPr>
          <w:rStyle w:val="17"/>
          <w:rFonts w:hint="eastAsia" w:ascii="方正黑体_GBK" w:hAnsi="方正黑体_GBK" w:eastAsia="方正黑体_GBK" w:cs="方正黑体_GBK"/>
          <w:kern w:val="0"/>
          <w:sz w:val="32"/>
          <w:szCs w:val="32"/>
        </w:rPr>
      </w:pPr>
      <w:r>
        <w:rPr>
          <w:rStyle w:val="17"/>
          <w:rFonts w:hint="eastAsia" w:ascii="方正黑体_GBK" w:hAnsi="方正黑体_GBK" w:eastAsia="方正黑体_GBK" w:cs="方正黑体_GBK"/>
          <w:kern w:val="0"/>
          <w:sz w:val="32"/>
          <w:szCs w:val="32"/>
        </w:rPr>
        <w:t>二、存在的困难和主要问题</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（一）原有品种出现种源退化，新发展的品种比较杂乱</w:t>
      </w:r>
      <w:r>
        <w:rPr>
          <w:rStyle w:val="17"/>
          <w:rFonts w:hint="eastAsia" w:ascii="仿宋_GB2312" w:hAnsi="宋体" w:eastAsia="仿宋_GB2312"/>
          <w:b/>
          <w:bCs/>
          <w:kern w:val="0"/>
          <w:sz w:val="32"/>
          <w:szCs w:val="32"/>
          <w:lang w:eastAsia="zh-CN"/>
        </w:rPr>
        <w:t>。</w:t>
      </w:r>
      <w:r>
        <w:rPr>
          <w:rStyle w:val="17"/>
          <w:rFonts w:hint="eastAsia" w:ascii="仿宋_GB2312" w:hAnsi="宋体" w:eastAsia="仿宋_GB2312"/>
          <w:kern w:val="0"/>
          <w:sz w:val="32"/>
          <w:szCs w:val="32"/>
        </w:rPr>
        <w:t>一是品种退化主要表现在当前种植的太子参，由于多年来种植户自行留种，导致品种种源退化、病害发生严重，大大影响太子参产量和品质，目前已选育了3个优良品种，但由于种苗繁育成本高，种苗价格偏高种植户难以接受，很难扩大推广面积。二是新发展品种比较杂乱，主要表现在当前种植的黄精品种，我州现在种植的黄精品种就有三种，滇黄精、多花黄精、甜黄精。其中的甜黄精未被《中国药典》收录，存在市场风险。</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（二）产业基础薄弱，栽培技术有待提高</w:t>
      </w:r>
      <w:r>
        <w:rPr>
          <w:rStyle w:val="17"/>
          <w:rFonts w:hint="eastAsia" w:ascii="仿宋_GB2312" w:hAnsi="宋体" w:eastAsia="仿宋_GB2312"/>
          <w:b/>
          <w:bCs/>
          <w:kern w:val="0"/>
          <w:sz w:val="32"/>
          <w:szCs w:val="32"/>
          <w:lang w:eastAsia="zh-CN"/>
        </w:rPr>
        <w:t>。</w:t>
      </w:r>
      <w:r>
        <w:rPr>
          <w:rStyle w:val="17"/>
          <w:rFonts w:hint="eastAsia" w:ascii="仿宋_GB2312" w:hAnsi="宋体" w:eastAsia="仿宋_GB2312"/>
          <w:kern w:val="0"/>
          <w:sz w:val="32"/>
          <w:szCs w:val="32"/>
        </w:rPr>
        <w:t>我州种植的药材品种较多，但目前只有太子参、钩藤、天麻、茯苓、铁皮石斛、三叶木通等品种种苗繁育和种植技术规程，很多品种没有固定的种植技术规程，种植企业、种植户只能摸索种植。针对中药材病虫害绿色防控方面的研究不足，中药材病虫害防治还是采用传统的、单一的化学防治的方法，中药材中有害元素、农药残留存在超标风险。</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（三）基础设施不配套，制约产业基地的发展</w:t>
      </w:r>
      <w:r>
        <w:rPr>
          <w:rStyle w:val="17"/>
          <w:rFonts w:hint="eastAsia" w:ascii="仿宋_GB2312" w:hAnsi="宋体" w:eastAsia="仿宋_GB2312"/>
          <w:b/>
          <w:bCs/>
          <w:kern w:val="0"/>
          <w:sz w:val="32"/>
          <w:szCs w:val="32"/>
          <w:lang w:eastAsia="zh-CN"/>
        </w:rPr>
        <w:t>。</w:t>
      </w:r>
      <w:r>
        <w:rPr>
          <w:rStyle w:val="17"/>
          <w:rFonts w:hint="eastAsia" w:ascii="仿宋_GB2312" w:hAnsi="宋体" w:eastAsia="仿宋_GB2312"/>
          <w:kern w:val="0"/>
          <w:sz w:val="32"/>
          <w:szCs w:val="32"/>
        </w:rPr>
        <w:t>我州主要以山区为主，中药材种植大多分布于高、远、僻等山区。这些地方普遍存在路、电、水等基础设施不完善、不配套的问题，制约基地的规模化、规范化建设，中药材种植管理、采收劳动成本和运输成本较高，从而影响基地生产及效益的发挥。</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（四）缺少中药材加工，产品附加值不高</w:t>
      </w:r>
      <w:r>
        <w:rPr>
          <w:rStyle w:val="17"/>
          <w:rFonts w:hint="eastAsia" w:ascii="仿宋_GB2312" w:hAnsi="宋体" w:eastAsia="仿宋_GB2312"/>
          <w:b/>
          <w:bCs/>
          <w:kern w:val="0"/>
          <w:sz w:val="32"/>
          <w:szCs w:val="32"/>
          <w:lang w:eastAsia="zh-CN"/>
        </w:rPr>
        <w:t>。</w:t>
      </w:r>
      <w:r>
        <w:rPr>
          <w:rStyle w:val="17"/>
          <w:rFonts w:hint="eastAsia" w:ascii="仿宋_GB2312" w:hAnsi="宋体" w:eastAsia="仿宋_GB2312"/>
          <w:kern w:val="0"/>
          <w:sz w:val="32"/>
          <w:szCs w:val="32"/>
        </w:rPr>
        <w:t>中药材种植面积的快速发展，中药材加工能力无法匹配，且中药材加工的龙头企业比较少，部分中药材品种以销售鲜品为主，</w:t>
      </w:r>
      <w:r>
        <w:rPr>
          <w:rStyle w:val="17"/>
          <w:rFonts w:hint="eastAsia" w:ascii="仿宋_GB2312" w:hAnsi="宋体" w:eastAsia="仿宋_GB2312"/>
          <w:kern w:val="0"/>
          <w:sz w:val="32"/>
          <w:szCs w:val="32"/>
          <w:lang w:eastAsia="zh-CN"/>
        </w:rPr>
        <w:t>收益较低</w:t>
      </w:r>
      <w:r>
        <w:rPr>
          <w:rStyle w:val="17"/>
          <w:rFonts w:hint="eastAsia" w:ascii="仿宋_GB2312" w:hAnsi="宋体" w:eastAsia="仿宋_GB2312"/>
          <w:kern w:val="0"/>
          <w:sz w:val="32"/>
          <w:szCs w:val="32"/>
        </w:rPr>
        <w:t>，制约</w:t>
      </w:r>
      <w:r>
        <w:rPr>
          <w:rStyle w:val="17"/>
          <w:rFonts w:hint="eastAsia" w:ascii="仿宋_GB2312" w:hAnsi="宋体" w:eastAsia="仿宋_GB2312"/>
          <w:kern w:val="0"/>
          <w:sz w:val="32"/>
          <w:szCs w:val="32"/>
          <w:lang w:eastAsia="zh-CN"/>
        </w:rPr>
        <w:t>了</w:t>
      </w:r>
      <w:r>
        <w:rPr>
          <w:rStyle w:val="17"/>
          <w:rFonts w:hint="eastAsia" w:ascii="仿宋_GB2312" w:hAnsi="宋体" w:eastAsia="仿宋_GB2312"/>
          <w:kern w:val="0"/>
          <w:sz w:val="32"/>
          <w:szCs w:val="32"/>
        </w:rPr>
        <w:t>产业的快速发展。</w:t>
      </w:r>
    </w:p>
    <w:p>
      <w:pPr>
        <w:spacing w:line="560" w:lineRule="exact"/>
        <w:ind w:left="0" w:leftChars="0" w:firstLine="640" w:firstLineChars="200"/>
        <w:rPr>
          <w:rStyle w:val="17"/>
          <w:rFonts w:hint="eastAsia" w:ascii="方正黑体_GBK" w:hAnsi="方正黑体_GBK" w:eastAsia="方正黑体_GBK" w:cs="方正黑体_GBK"/>
          <w:kern w:val="0"/>
          <w:sz w:val="32"/>
          <w:szCs w:val="32"/>
        </w:rPr>
      </w:pPr>
      <w:r>
        <w:rPr>
          <w:rStyle w:val="17"/>
          <w:rFonts w:hint="eastAsia" w:ascii="方正黑体_GBK" w:hAnsi="方正黑体_GBK" w:eastAsia="方正黑体_GBK" w:cs="方正黑体_GBK"/>
          <w:kern w:val="0"/>
          <w:sz w:val="32"/>
          <w:szCs w:val="32"/>
        </w:rPr>
        <w:t>三、对策与建议</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（一）优化产业结构，实行跨区域发展</w:t>
      </w:r>
      <w:r>
        <w:rPr>
          <w:rStyle w:val="17"/>
          <w:rFonts w:hint="eastAsia" w:ascii="仿宋_GB2312" w:hAnsi="宋体" w:eastAsia="仿宋_GB2312"/>
          <w:b/>
          <w:bCs/>
          <w:kern w:val="0"/>
          <w:sz w:val="32"/>
          <w:szCs w:val="32"/>
          <w:lang w:eastAsia="zh-CN"/>
        </w:rPr>
        <w:t>。</w:t>
      </w:r>
      <w:r>
        <w:rPr>
          <w:rStyle w:val="17"/>
          <w:rFonts w:hint="eastAsia" w:ascii="仿宋_GB2312" w:hAnsi="宋体" w:eastAsia="仿宋_GB2312"/>
          <w:kern w:val="0"/>
          <w:sz w:val="32"/>
          <w:szCs w:val="32"/>
        </w:rPr>
        <w:t>一是在原有8个重点品种的基础上，近一步优化品种，打造太子参、天麻、钩藤、铁皮石斛、黄精、淫羊藿6个跨区域发展。二是围绕太子参、天麻、钩藤、铁皮石斛、黄精、白及6个打造产业带,聚焦“一县一业”“多县一带”跨行政区域发展布局，通过种植产业带辐射带动全州各县市发展优势中药材品种种植。</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（二）强化技术培训，提升种子（苗）供应能力</w:t>
      </w:r>
      <w:r>
        <w:rPr>
          <w:rStyle w:val="17"/>
          <w:rFonts w:hint="eastAsia" w:ascii="仿宋_GB2312" w:hAnsi="宋体" w:eastAsia="仿宋_GB2312"/>
          <w:b/>
          <w:bCs/>
          <w:kern w:val="0"/>
          <w:sz w:val="32"/>
          <w:szCs w:val="32"/>
          <w:lang w:eastAsia="zh-CN"/>
        </w:rPr>
        <w:t>。</w:t>
      </w:r>
      <w:r>
        <w:rPr>
          <w:rStyle w:val="17"/>
          <w:rFonts w:hint="eastAsia" w:ascii="仿宋_GB2312" w:hAnsi="宋体" w:eastAsia="仿宋_GB2312"/>
          <w:kern w:val="0"/>
          <w:sz w:val="32"/>
          <w:szCs w:val="32"/>
        </w:rPr>
        <w:t>一是开展新品种引进试验示范和绿色高效栽培等基础性研究，抓好新技术、新品种的储备。强化产业培训，增强种植基地管护水平,确保基地的提质增效。二是加强我州大宗药材、道地药材品种的提纯复壮、优良品种选育和推广工作，加强种苗基地建设，在每个产业县，结合产业需要建设200亩以上的种苗繁育基地，确保优质种苗的供应能力。</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（三）推进一批规模化标准化生产基地建设</w:t>
      </w:r>
      <w:r>
        <w:rPr>
          <w:rStyle w:val="17"/>
          <w:rFonts w:hint="eastAsia" w:ascii="仿宋_GB2312" w:hAnsi="宋体" w:eastAsia="仿宋_GB2312"/>
          <w:b/>
          <w:bCs/>
          <w:kern w:val="0"/>
          <w:sz w:val="32"/>
          <w:szCs w:val="32"/>
          <w:lang w:eastAsia="zh-CN"/>
        </w:rPr>
        <w:t>。</w:t>
      </w:r>
      <w:r>
        <w:rPr>
          <w:rStyle w:val="17"/>
          <w:rFonts w:hint="eastAsia" w:ascii="仿宋_GB2312" w:hAnsi="宋体" w:eastAsia="仿宋_GB2312"/>
          <w:kern w:val="0"/>
          <w:sz w:val="32"/>
          <w:szCs w:val="32"/>
        </w:rPr>
        <w:t>一是聚焦天麻、石斛、太子参、黄精、白及、钩藤等重点品种。以“道地、绿色、生态”为核心，打造一批规模化产业化基地，推动优势单品种连片发展。二是将我州已纳入国家药食同源目录品种与市场需求大的中药材作为主攻方向，提质增效，推进一批标准化基地建设，提高品牌和价值效应，掌握单品价格话语权。</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（四）加强产地加工，推进产销对接</w:t>
      </w:r>
      <w:r>
        <w:rPr>
          <w:rStyle w:val="17"/>
          <w:rFonts w:hint="eastAsia" w:ascii="仿宋_GB2312" w:hAnsi="宋体" w:eastAsia="仿宋_GB2312"/>
          <w:b/>
          <w:bCs/>
          <w:kern w:val="0"/>
          <w:sz w:val="32"/>
          <w:szCs w:val="32"/>
          <w:lang w:eastAsia="zh-CN"/>
        </w:rPr>
        <w:t>。</w:t>
      </w:r>
      <w:r>
        <w:rPr>
          <w:rStyle w:val="17"/>
          <w:rFonts w:hint="eastAsia" w:ascii="仿宋_GB2312" w:hAnsi="宋体" w:eastAsia="仿宋_GB2312"/>
          <w:kern w:val="0"/>
          <w:sz w:val="32"/>
          <w:szCs w:val="32"/>
        </w:rPr>
        <w:t>一是积极引导全州中药材企业、合作社在各重点品种产业区和中药材种植相对连片的地区开展产地加工（趁鲜切制），促进药材产地加工的集聚发展和规范发展。重点抓好雷山、镇远、黎平天麻产地初加工建设。二是谋划中药材精深加工，协调推进锦屏县铁皮石斛精深加工基地建，使我州中药材产业生产、加工上一个台阶，进一步推进中药材一二三产业的融合发展。三是充分利用黄平县一碗水中药材产地交易市场，搭建市场信息平台，持续开展“定制药园”基地打造，推进产销对接。</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（五）加大产业招商引资力度</w:t>
      </w:r>
      <w:r>
        <w:rPr>
          <w:rStyle w:val="17"/>
          <w:rFonts w:hint="eastAsia" w:ascii="仿宋_GB2312" w:hAnsi="宋体" w:eastAsia="仿宋_GB2312"/>
          <w:b/>
          <w:bCs/>
          <w:kern w:val="0"/>
          <w:sz w:val="32"/>
          <w:szCs w:val="32"/>
          <w:lang w:eastAsia="zh-CN"/>
        </w:rPr>
        <w:t>。</w:t>
      </w:r>
      <w:r>
        <w:rPr>
          <w:rStyle w:val="17"/>
          <w:rFonts w:hint="eastAsia" w:ascii="仿宋_GB2312" w:hAnsi="宋体" w:eastAsia="仿宋_GB2312"/>
          <w:kern w:val="0"/>
          <w:sz w:val="32"/>
          <w:szCs w:val="32"/>
        </w:rPr>
        <w:t>一是按照产业发展规划，寻找全国龙头企业招引入驻我州，确保资源配置到位，确保产业发展可持续。二是积极开展招商引资推介工作，配合制定产业招商引资政策，明确政策支持相关事项，确保企业招得来、发展好。三是加强龙头企业跟踪服务到位。</w:t>
      </w:r>
    </w:p>
    <w:p>
      <w:pPr>
        <w:spacing w:line="560" w:lineRule="exact"/>
        <w:ind w:left="0" w:leftChars="0" w:firstLine="640" w:firstLineChars="200"/>
        <w:rPr>
          <w:rStyle w:val="17"/>
          <w:rFonts w:hint="eastAsia" w:ascii="仿宋_GB2312" w:hAnsi="宋体" w:eastAsia="仿宋_GB2312"/>
          <w:kern w:val="0"/>
          <w:sz w:val="32"/>
          <w:szCs w:val="32"/>
          <w:lang w:val="en-US" w:eastAsia="zh-CN"/>
        </w:rPr>
      </w:pPr>
      <w:r>
        <w:rPr>
          <w:rStyle w:val="17"/>
          <w:rFonts w:hint="eastAsia" w:ascii="仿宋_GB2312" w:hAnsi="宋体" w:eastAsia="仿宋_GB2312"/>
          <w:kern w:val="0"/>
          <w:sz w:val="32"/>
          <w:szCs w:val="32"/>
          <w:lang w:val="en-US" w:eastAsia="zh-CN"/>
        </w:rPr>
        <w:t>注：1、提案会办单位需将会办意见送主办单位，由主办单位连同《提案答复件》《征询意见表》一并抄送州政协；（涉及目标考核）</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baseline"/>
        <w:rPr>
          <w:rStyle w:val="17"/>
          <w:rFonts w:hint="default" w:ascii="仿宋_GB2312" w:hAnsi="宋体" w:eastAsia="仿宋_GB2312"/>
          <w:kern w:val="0"/>
          <w:sz w:val="32"/>
          <w:szCs w:val="32"/>
          <w:lang w:val="en-US" w:eastAsia="zh-CN"/>
        </w:rPr>
      </w:pPr>
      <w:r>
        <w:rPr>
          <w:rStyle w:val="17"/>
          <w:rFonts w:hint="eastAsia" w:ascii="仿宋_GB2312" w:hAnsi="宋体" w:eastAsia="仿宋_GB2312"/>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9"/>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Style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C23FF"/>
    <w:multiLevelType w:val="multilevel"/>
    <w:tmpl w:val="1D6C23FF"/>
    <w:lvl w:ilvl="0" w:tentative="0">
      <w:start w:val="1"/>
      <w:numFmt w:val="chineseCounting"/>
      <w:suff w:val="nothing"/>
      <w:lvlText w:val="%1、"/>
      <w:lvlJc w:val="left"/>
      <w:pPr>
        <w:tabs>
          <w:tab w:val="left" w:pos="0"/>
        </w:tabs>
        <w:ind w:firstLine="40"/>
      </w:pPr>
      <w:rPr>
        <w:rFonts w:hint="eastAsia" w:ascii="Times New Roman" w:hAnsi="Times New Roman" w:eastAsia="黑体" w:cs="宋体"/>
        <w:sz w:val="32"/>
        <w:szCs w:val="32"/>
      </w:rPr>
    </w:lvl>
    <w:lvl w:ilvl="1" w:tentative="0">
      <w:start w:val="1"/>
      <w:numFmt w:val="chineseCounting"/>
      <w:suff w:val="nothing"/>
      <w:lvlText w:val="（%2）"/>
      <w:lvlJc w:val="left"/>
      <w:pPr>
        <w:tabs>
          <w:tab w:val="left" w:pos="0"/>
        </w:tabs>
      </w:pPr>
      <w:rPr>
        <w:rFonts w:hint="eastAsia" w:cs="Times New Roman"/>
      </w:rPr>
    </w:lvl>
    <w:lvl w:ilvl="2" w:tentative="0">
      <w:start w:val="1"/>
      <w:numFmt w:val="decimal"/>
      <w:pStyle w:val="5"/>
      <w:suff w:val="nothing"/>
      <w:lvlText w:val="%3．"/>
      <w:lvlJc w:val="left"/>
      <w:pPr>
        <w:ind w:firstLine="400"/>
      </w:pPr>
      <w:rPr>
        <w:rFonts w:hint="eastAsia" w:cs="Times New Roman"/>
      </w:rPr>
    </w:lvl>
    <w:lvl w:ilvl="3" w:tentative="0">
      <w:start w:val="1"/>
      <w:numFmt w:val="decimal"/>
      <w:suff w:val="nothing"/>
      <w:lvlText w:val="（%4）"/>
      <w:lvlJc w:val="left"/>
      <w:pPr>
        <w:ind w:firstLine="402"/>
      </w:pPr>
      <w:rPr>
        <w:rFonts w:hint="eastAsia" w:cs="Times New Roman"/>
      </w:rPr>
    </w:lvl>
    <w:lvl w:ilvl="4" w:tentative="0">
      <w:start w:val="1"/>
      <w:numFmt w:val="decimalEnclosedCircleChinese"/>
      <w:suff w:val="nothing"/>
      <w:lvlText w:val="%5"/>
      <w:lvlJc w:val="left"/>
      <w:pPr>
        <w:ind w:firstLine="402"/>
      </w:pPr>
      <w:rPr>
        <w:rFonts w:hint="eastAsia" w:cs="Times New Roman"/>
      </w:rPr>
    </w:lvl>
    <w:lvl w:ilvl="5" w:tentative="0">
      <w:start w:val="1"/>
      <w:numFmt w:val="decimal"/>
      <w:suff w:val="nothing"/>
      <w:lvlText w:val="%6）"/>
      <w:lvlJc w:val="left"/>
      <w:pPr>
        <w:ind w:firstLine="402"/>
      </w:pPr>
      <w:rPr>
        <w:rFonts w:hint="eastAsia" w:cs="Times New Roman"/>
      </w:rPr>
    </w:lvl>
    <w:lvl w:ilvl="6" w:tentative="0">
      <w:start w:val="1"/>
      <w:numFmt w:val="lowerLetter"/>
      <w:suff w:val="nothing"/>
      <w:lvlText w:val="%7．"/>
      <w:lvlJc w:val="left"/>
      <w:pPr>
        <w:ind w:firstLine="402"/>
      </w:pPr>
      <w:rPr>
        <w:rFonts w:hint="eastAsia" w:cs="Times New Roman"/>
      </w:rPr>
    </w:lvl>
    <w:lvl w:ilvl="7" w:tentative="0">
      <w:start w:val="1"/>
      <w:numFmt w:val="lowerLetter"/>
      <w:suff w:val="nothing"/>
      <w:lvlText w:val="%8）"/>
      <w:lvlJc w:val="left"/>
      <w:pPr>
        <w:ind w:firstLine="402"/>
      </w:pPr>
      <w:rPr>
        <w:rFonts w:hint="eastAsia" w:cs="Times New Roman"/>
      </w:rPr>
    </w:lvl>
    <w:lvl w:ilvl="8" w:tentative="0">
      <w:start w:val="1"/>
      <w:numFmt w:val="lowerRoman"/>
      <w:suff w:val="nothing"/>
      <w:lvlText w:val="%9 "/>
      <w:lvlJc w:val="left"/>
      <w:pPr>
        <w:ind w:firstLine="402"/>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7D26AFC"/>
    <w:rsid w:val="08B66956"/>
    <w:rsid w:val="10B40BCC"/>
    <w:rsid w:val="118823F2"/>
    <w:rsid w:val="15986B93"/>
    <w:rsid w:val="18EC1E64"/>
    <w:rsid w:val="1BAB45FA"/>
    <w:rsid w:val="20E366FE"/>
    <w:rsid w:val="21EA0B57"/>
    <w:rsid w:val="29EB237C"/>
    <w:rsid w:val="2FD84B80"/>
    <w:rsid w:val="30B878C9"/>
    <w:rsid w:val="33552650"/>
    <w:rsid w:val="377737A4"/>
    <w:rsid w:val="38D60616"/>
    <w:rsid w:val="3A7B4D73"/>
    <w:rsid w:val="3BE7499D"/>
    <w:rsid w:val="3F1A5C90"/>
    <w:rsid w:val="42F10C9F"/>
    <w:rsid w:val="493508EE"/>
    <w:rsid w:val="497C7186"/>
    <w:rsid w:val="4A196944"/>
    <w:rsid w:val="4F1E6C2C"/>
    <w:rsid w:val="4F6B5D70"/>
    <w:rsid w:val="507F065A"/>
    <w:rsid w:val="5236789E"/>
    <w:rsid w:val="559F1A55"/>
    <w:rsid w:val="5A7C34BF"/>
    <w:rsid w:val="5AA17385"/>
    <w:rsid w:val="5B7C24C8"/>
    <w:rsid w:val="5E7C7E34"/>
    <w:rsid w:val="5F4D0DF6"/>
    <w:rsid w:val="61895CCF"/>
    <w:rsid w:val="66F35DD9"/>
    <w:rsid w:val="6854075C"/>
    <w:rsid w:val="69A37ABB"/>
    <w:rsid w:val="762A4BFD"/>
    <w:rsid w:val="7C1F064D"/>
    <w:rsid w:val="7DBB9FDA"/>
    <w:rsid w:val="7FE0122B"/>
    <w:rsid w:val="7FFF2EBA"/>
    <w:rsid w:val="FEEF87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5">
    <w:name w:val="heading 3"/>
    <w:basedOn w:val="1"/>
    <w:next w:val="1"/>
    <w:qFormat/>
    <w:uiPriority w:val="99"/>
    <w:pPr>
      <w:keepNext/>
      <w:keepLines/>
      <w:numPr>
        <w:ilvl w:val="2"/>
        <w:numId w:val="1"/>
      </w:numPr>
      <w:tabs>
        <w:tab w:val="left" w:pos="0"/>
      </w:tabs>
      <w:spacing w:line="413" w:lineRule="auto"/>
      <w:outlineLvl w:val="2"/>
    </w:pPr>
    <w:rPr>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left="0" w:leftChars="0" w:firstLine="880" w:firstLineChars="200"/>
    </w:pPr>
    <w:rPr>
      <w:rFonts w:eastAsia="仿宋_GB2312"/>
    </w:rPr>
  </w:style>
  <w:style w:type="paragraph" w:styleId="3">
    <w:name w:val="Body Text Indent"/>
    <w:basedOn w:val="1"/>
    <w:next w:val="4"/>
    <w:qFormat/>
    <w:uiPriority w:val="99"/>
    <w:pPr>
      <w:spacing w:after="120"/>
      <w:ind w:left="420" w:leftChars="200"/>
    </w:pPr>
  </w:style>
  <w:style w:type="paragraph" w:styleId="4">
    <w:name w:val="Body Text"/>
    <w:basedOn w:val="1"/>
    <w:next w:val="5"/>
    <w:qFormat/>
    <w:uiPriority w:val="99"/>
    <w:pPr>
      <w:spacing w:afterAutospacing="1"/>
      <w:ind w:left="101"/>
    </w:pPr>
    <w:rPr>
      <w:rFonts w:ascii="宋体" w:hAnsi="宋体"/>
      <w:sz w:val="29"/>
      <w:szCs w:val="29"/>
    </w:rPr>
  </w:style>
  <w:style w:type="paragraph" w:styleId="6">
    <w:name w:val="table of authorities"/>
    <w:basedOn w:val="1"/>
    <w:next w:val="1"/>
    <w:qFormat/>
    <w:uiPriority w:val="0"/>
    <w:pPr>
      <w:ind w:left="420" w:leftChars="200"/>
    </w:pPr>
    <w:rPr>
      <w:szCs w:val="20"/>
    </w:rPr>
  </w:style>
  <w:style w:type="paragraph" w:styleId="7">
    <w:name w:val="Body Text Indent 2"/>
    <w:basedOn w:val="1"/>
    <w:next w:val="8"/>
    <w:qFormat/>
    <w:uiPriority w:val="99"/>
    <w:pPr>
      <w:spacing w:after="120" w:line="480" w:lineRule="auto"/>
      <w:ind w:left="420" w:leftChars="200"/>
    </w:pPr>
  </w:style>
  <w:style w:type="paragraph" w:styleId="8">
    <w:name w:val="Body Text Indent 3"/>
    <w:basedOn w:val="1"/>
    <w:qFormat/>
    <w:uiPriority w:val="99"/>
    <w:pPr>
      <w:ind w:left="200" w:leftChars="200"/>
    </w:pPr>
    <w:rPr>
      <w:sz w:val="16"/>
    </w:rPr>
  </w:style>
  <w:style w:type="paragraph" w:styleId="9">
    <w:name w:val="footer"/>
    <w:basedOn w:val="1"/>
    <w:link w:val="27"/>
    <w:qFormat/>
    <w:uiPriority w:val="99"/>
    <w:pPr>
      <w:snapToGrid w:val="0"/>
      <w:jc w:val="left"/>
    </w:pPr>
    <w:rPr>
      <w:sz w:val="18"/>
      <w:szCs w:val="18"/>
    </w:rPr>
  </w:style>
  <w:style w:type="paragraph" w:styleId="10">
    <w:name w:val="header"/>
    <w:basedOn w:val="1"/>
    <w:qFormat/>
    <w:uiPriority w:val="0"/>
    <w:pPr>
      <w:pBdr>
        <w:bottom w:val="single" w:color="000000" w:sz="6" w:space="0"/>
      </w:pBdr>
      <w:snapToGrid w:val="0"/>
      <w:jc w:val="center"/>
    </w:pPr>
    <w:rPr>
      <w:sz w:val="18"/>
      <w:szCs w:val="18"/>
    </w:rPr>
  </w:style>
  <w:style w:type="paragraph" w:styleId="11">
    <w:name w:val="footnote text"/>
    <w:basedOn w:val="1"/>
    <w:semiHidden/>
    <w:qFormat/>
    <w:uiPriority w:val="0"/>
    <w:pPr>
      <w:snapToGrid w:val="0"/>
      <w:jc w:val="left"/>
    </w:pPr>
    <w:rPr>
      <w:sz w:val="18"/>
      <w:szCs w:val="18"/>
    </w:rPr>
  </w:style>
  <w:style w:type="paragraph" w:styleId="12">
    <w:name w:val="Normal (Web)"/>
    <w:basedOn w:val="1"/>
    <w:qFormat/>
    <w:uiPriority w:val="0"/>
    <w:pPr>
      <w:spacing w:beforeAutospacing="1" w:afterAutospacing="1"/>
      <w:jc w:val="left"/>
    </w:pPr>
    <w:rPr>
      <w:kern w:val="0"/>
      <w:sz w:val="24"/>
    </w:rPr>
  </w:style>
  <w:style w:type="character" w:styleId="15">
    <w:name w:val="Strong"/>
    <w:qFormat/>
    <w:uiPriority w:val="0"/>
    <w:rPr>
      <w:rFonts w:cs="Times New Roman"/>
      <w:b/>
      <w:bCs/>
    </w:rPr>
  </w:style>
  <w:style w:type="character" w:styleId="16">
    <w:name w:val="Hyperlink"/>
    <w:basedOn w:val="17"/>
    <w:semiHidden/>
    <w:qFormat/>
    <w:uiPriority w:val="0"/>
    <w:rPr>
      <w:color w:val="0000FF"/>
      <w:u w:val="single"/>
    </w:rPr>
  </w:style>
  <w:style w:type="character" w:customStyle="1" w:styleId="17">
    <w:name w:val="NormalCharacter"/>
    <w:semiHidden/>
    <w:qFormat/>
    <w:uiPriority w:val="0"/>
  </w:style>
  <w:style w:type="paragraph" w:customStyle="1" w:styleId="18">
    <w:name w:val="Heading1"/>
    <w:basedOn w:val="1"/>
    <w:link w:val="24"/>
    <w:qFormat/>
    <w:uiPriority w:val="0"/>
    <w:pPr>
      <w:spacing w:before="100" w:beforeAutospacing="1" w:after="100" w:afterAutospacing="1"/>
      <w:jc w:val="left"/>
    </w:pPr>
    <w:rPr>
      <w:rFonts w:ascii="宋体" w:hAnsi="宋体" w:cs="宋体"/>
      <w:b/>
      <w:bCs/>
      <w:kern w:val="36"/>
      <w:sz w:val="48"/>
      <w:szCs w:val="48"/>
    </w:rPr>
  </w:style>
  <w:style w:type="table" w:customStyle="1" w:styleId="19">
    <w:name w:val="TableNormal"/>
    <w:semiHidden/>
    <w:qFormat/>
    <w:uiPriority w:val="0"/>
    <w:tblPr>
      <w:tblCellMar>
        <w:top w:w="0" w:type="dxa"/>
        <w:left w:w="0" w:type="dxa"/>
        <w:bottom w:w="0" w:type="dxa"/>
        <w:right w:w="0" w:type="dxa"/>
      </w:tblCellMar>
    </w:tblPr>
  </w:style>
  <w:style w:type="paragraph" w:customStyle="1" w:styleId="20">
    <w:name w:val="Acetate"/>
    <w:basedOn w:val="1"/>
    <w:qFormat/>
    <w:uiPriority w:val="0"/>
    <w:rPr>
      <w:sz w:val="18"/>
      <w:szCs w:val="18"/>
    </w:rPr>
  </w:style>
  <w:style w:type="paragraph" w:customStyle="1" w:styleId="21">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22">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23">
    <w:name w:val="UserStyle_2"/>
    <w:basedOn w:val="1"/>
    <w:qFormat/>
    <w:uiPriority w:val="0"/>
    <w:pPr>
      <w:spacing w:before="100" w:beforeAutospacing="1" w:after="100" w:afterAutospacing="1"/>
      <w:jc w:val="left"/>
    </w:pPr>
    <w:rPr>
      <w:rFonts w:ascii="宋体" w:hAnsi="宋体"/>
      <w:kern w:val="0"/>
      <w:sz w:val="24"/>
    </w:rPr>
  </w:style>
  <w:style w:type="character" w:customStyle="1" w:styleId="24">
    <w:name w:val="UserStyle_3"/>
    <w:basedOn w:val="17"/>
    <w:link w:val="18"/>
    <w:qFormat/>
    <w:uiPriority w:val="0"/>
    <w:rPr>
      <w:rFonts w:ascii="宋体" w:hAnsi="宋体" w:cs="宋体"/>
      <w:b/>
      <w:bCs/>
      <w:kern w:val="36"/>
      <w:sz w:val="48"/>
      <w:szCs w:val="48"/>
    </w:rPr>
  </w:style>
  <w:style w:type="character" w:customStyle="1" w:styleId="25">
    <w:name w:val="UserStyle_4"/>
    <w:basedOn w:val="17"/>
    <w:qFormat/>
    <w:uiPriority w:val="0"/>
  </w:style>
  <w:style w:type="paragraph" w:customStyle="1" w:styleId="26">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27">
    <w:name w:val="页脚 Char"/>
    <w:basedOn w:val="14"/>
    <w:link w:val="9"/>
    <w:qFormat/>
    <w:uiPriority w:val="99"/>
    <w:rPr>
      <w:rFonts w:cstheme="minorBidi"/>
      <w:kern w:val="2"/>
      <w:sz w:val="18"/>
      <w:szCs w:val="18"/>
    </w:rPr>
  </w:style>
  <w:style w:type="paragraph" w:customStyle="1" w:styleId="28">
    <w:name w:val="正文-公1"/>
    <w:basedOn w:val="1"/>
    <w:qFormat/>
    <w:uiPriority w:val="99"/>
    <w:pPr>
      <w:ind w:firstLine="200" w:firstLineChars="200"/>
    </w:pPr>
    <w:rPr>
      <w:rFonts w:ascii="Calibri" w:hAnsi="Calibri"/>
    </w:rPr>
  </w:style>
  <w:style w:type="paragraph" w:customStyle="1" w:styleId="29">
    <w:name w:val="Body text|2"/>
    <w:basedOn w:val="1"/>
    <w:qFormat/>
    <w:uiPriority w:val="0"/>
    <w:pPr>
      <w:spacing w:after="300"/>
      <w:ind w:firstLine="740"/>
    </w:pPr>
    <w:rPr>
      <w:rFonts w:ascii="宋体" w:hAnsi="宋体" w:cs="宋体"/>
      <w:sz w:val="26"/>
      <w:szCs w:val="26"/>
      <w:lang w:val="zh-TW" w:eastAsia="zh-TW" w:bidi="zh-TW"/>
    </w:rPr>
  </w:style>
  <w:style w:type="paragraph" w:customStyle="1" w:styleId="30">
    <w:name w:val="正文文本首行缩进 2"/>
    <w:basedOn w:val="3"/>
    <w:qFormat/>
    <w:uiPriority w:val="0"/>
    <w:pPr>
      <w:ind w:firstLine="420" w:firstLineChars="200"/>
    </w:pPr>
    <w:rPr>
      <w:rFonts w:ascii="Calibri" w:hAnsi="Calibri" w:eastAsia="宋体" w:cs="宋体"/>
    </w:rPr>
  </w:style>
  <w:style w:type="paragraph" w:customStyle="1" w:styleId="31">
    <w:name w:val="BodyText2"/>
    <w:basedOn w:val="1"/>
    <w:qFormat/>
    <w:uiPriority w:val="0"/>
    <w:pPr>
      <w:widowControl/>
      <w:spacing w:after="120" w:line="480" w:lineRule="auto"/>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7</Pages>
  <Words>3103</Words>
  <Characters>3253</Characters>
  <Lines>14</Lines>
  <Paragraphs>4</Paragraphs>
  <TotalTime>4</TotalTime>
  <ScaleCrop>false</ScaleCrop>
  <LinksUpToDate>false</LinksUpToDate>
  <CharactersWithSpaces>3289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2021-01-13T12:51:00Z</dcterms:created>
  <dc:creator>Administrator</dc:creator>
  <cp:lastModifiedBy>丘丘</cp:lastModifiedBy>
  <cp:lastPrinted>2021-02-26T10:55:00Z</cp:lastPrinted>
  <dcterms:modified xsi:type="dcterms:W3CDTF">2022-03-29T03:11:17Z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0BEFFA9D6DA34548976C4312CA596319</vt:lpwstr>
  </property>
</Properties>
</file>