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0" w:beforeAutospacing="0" w:after="0" w:afterAutospacing="0" w:line="600" w:lineRule="exact"/>
        <w:jc w:val="center"/>
        <w:rPr>
          <w:rStyle w:val="11"/>
          <w:rFonts w:ascii="黑体" w:eastAsia="黑体"/>
          <w:sz w:val="44"/>
          <w:szCs w:val="44"/>
        </w:rPr>
      </w:pPr>
      <w:r>
        <w:rPr>
          <w:rStyle w:val="9"/>
          <w:rFonts w:ascii="黑体" w:eastAsia="黑体" w:cs="宋体"/>
          <w:sz w:val="44"/>
          <w:szCs w:val="44"/>
        </w:rPr>
        <w:t>中国人民政治协商会议</w:t>
      </w:r>
    </w:p>
    <w:p>
      <w:pPr>
        <w:pStyle w:val="16"/>
        <w:spacing w:before="0" w:beforeAutospacing="0" w:after="0" w:afterAutospacing="0" w:line="600" w:lineRule="exact"/>
        <w:jc w:val="center"/>
        <w:rPr>
          <w:rStyle w:val="11"/>
          <w:rFonts w:hint="eastAsia"/>
          <w:sz w:val="44"/>
          <w:szCs w:val="44"/>
        </w:rPr>
      </w:pPr>
      <w:r>
        <w:rPr>
          <w:rStyle w:val="11"/>
          <w:sz w:val="44"/>
          <w:szCs w:val="44"/>
        </w:rPr>
        <w:t>黔东南苗族侗族自治州委员会</w:t>
      </w:r>
    </w:p>
    <w:p>
      <w:pPr>
        <w:pStyle w:val="16"/>
        <w:spacing w:before="0" w:beforeAutospacing="0" w:after="0" w:afterAutospacing="0" w:line="600" w:lineRule="exact"/>
        <w:jc w:val="center"/>
        <w:rPr>
          <w:rStyle w:val="11"/>
          <w:rFonts w:hint="eastAsia"/>
          <w:sz w:val="44"/>
          <w:szCs w:val="44"/>
        </w:rPr>
      </w:pPr>
      <w:r>
        <w:rPr>
          <w:rStyle w:val="11"/>
          <w:sz w:val="44"/>
          <w:szCs w:val="44"/>
        </w:rPr>
        <w:t>提</w:t>
      </w:r>
      <w:r>
        <w:rPr>
          <w:rStyle w:val="11"/>
          <w:rFonts w:hint="eastAsia"/>
          <w:sz w:val="44"/>
          <w:szCs w:val="44"/>
        </w:rPr>
        <w:t xml:space="preserve">   </w:t>
      </w:r>
      <w:r>
        <w:rPr>
          <w:rStyle w:val="11"/>
          <w:sz w:val="44"/>
          <w:szCs w:val="44"/>
        </w:rPr>
        <w:t>案</w:t>
      </w:r>
    </w:p>
    <w:p>
      <w:pPr>
        <w:spacing w:line="320" w:lineRule="exact"/>
        <w:jc w:val="center"/>
        <w:textAlignment w:val="top"/>
        <w:rPr>
          <w:rStyle w:val="11"/>
          <w:rFonts w:hint="eastAsia" w:ascii="宋体" w:hAnsi="宋体"/>
          <w:kern w:val="0"/>
          <w:sz w:val="24"/>
        </w:rPr>
      </w:pPr>
    </w:p>
    <w:p>
      <w:pPr>
        <w:spacing w:line="320" w:lineRule="exact"/>
        <w:jc w:val="center"/>
        <w:textAlignment w:val="top"/>
        <w:rPr>
          <w:rStyle w:val="11"/>
          <w:rFonts w:hint="eastAsia" w:ascii="宋体" w:hAnsi="宋体"/>
          <w:kern w:val="0"/>
          <w:sz w:val="24"/>
        </w:rPr>
      </w:pPr>
    </w:p>
    <w:p>
      <w:pPr>
        <w:spacing w:line="760" w:lineRule="exact"/>
        <w:jc w:val="both"/>
        <w:textAlignment w:val="top"/>
        <w:rPr>
          <w:rStyle w:val="11"/>
          <w:rFonts w:ascii="宋体" w:hAnsi="宋体"/>
          <w:kern w:val="0"/>
          <w:sz w:val="24"/>
        </w:rPr>
      </w:pPr>
      <w:r>
        <w:rPr>
          <w:rStyle w:val="11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C+6oZl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320" w:lineRule="exact"/>
        <w:rPr>
          <w:rStyle w:val="11"/>
          <w:rFonts w:hint="default" w:ascii="宋体" w:hAnsi="宋体" w:eastAsia="宋体"/>
          <w:kern w:val="0"/>
          <w:sz w:val="24"/>
          <w:lang w:val="en-US" w:eastAsia="zh-CN"/>
        </w:rPr>
      </w:pPr>
      <w:r>
        <w:rPr>
          <w:rStyle w:val="11"/>
          <w:rFonts w:ascii="宋体" w:hAnsi="宋体"/>
          <w:kern w:val="0"/>
          <w:sz w:val="24"/>
        </w:rPr>
        <w:t>第十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>三</w:t>
      </w:r>
      <w:r>
        <w:rPr>
          <w:rStyle w:val="11"/>
          <w:rFonts w:ascii="宋体" w:hAnsi="宋体"/>
          <w:kern w:val="0"/>
          <w:sz w:val="24"/>
        </w:rPr>
        <w:t>届第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>一</w:t>
      </w:r>
      <w:r>
        <w:rPr>
          <w:rStyle w:val="11"/>
          <w:rFonts w:ascii="宋体" w:hAnsi="宋体"/>
          <w:kern w:val="0"/>
          <w:sz w:val="24"/>
        </w:rPr>
        <w:t>次会议　       　第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>005</w:t>
      </w:r>
      <w:bookmarkStart w:id="0" w:name="_GoBack"/>
      <w:bookmarkEnd w:id="0"/>
      <w:r>
        <w:rPr>
          <w:rStyle w:val="11"/>
          <w:rFonts w:ascii="宋体" w:hAnsi="宋体"/>
          <w:kern w:val="0"/>
          <w:sz w:val="24"/>
        </w:rPr>
        <w:t xml:space="preserve">号　    </w:t>
      </w:r>
      <w:r>
        <w:rPr>
          <w:rStyle w:val="11"/>
          <w:rFonts w:hint="eastAsia" w:ascii="宋体" w:hAnsi="宋体"/>
          <w:kern w:val="0"/>
          <w:sz w:val="24"/>
        </w:rPr>
        <w:t xml:space="preserve">    </w:t>
      </w:r>
      <w:r>
        <w:rPr>
          <w:rStyle w:val="11"/>
          <w:rFonts w:hint="eastAsia" w:ascii="宋体" w:hAnsi="宋体"/>
          <w:kern w:val="0"/>
          <w:sz w:val="24"/>
          <w:lang w:val="en-US" w:eastAsia="zh-CN"/>
        </w:rPr>
        <w:t xml:space="preserve"> 类别：社会建设类     </w:t>
      </w:r>
    </w:p>
    <w:p>
      <w:pPr>
        <w:spacing w:line="320" w:lineRule="exact"/>
        <w:jc w:val="left"/>
        <w:rPr>
          <w:rStyle w:val="11"/>
          <w:rFonts w:ascii="宋体" w:hAnsi="宋体"/>
          <w:kern w:val="0"/>
          <w:sz w:val="24"/>
        </w:rPr>
      </w:pPr>
      <w:r>
        <w:rPr>
          <w:rStyle w:val="11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74945" cy="38100"/>
                <wp:effectExtent l="0" t="0" r="1905" b="0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381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3pt;width:415.35pt;" fillcolor="#ACA899" filled="t" stroked="f" coordsize="21600,21600" o:gfxdata="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zMVtO0wAAAAMBAAAPAAAAAAAAAAEAIAAAACIAAABkcnMvZG93bnJldi54bWxQSwEC&#10;FAAUAAAACACHTuJApo3SZ8ABAAB3AwAADgAAAAAAAAABACAAAAAiAQAAZHJzL2Uyb0RvYy54bWxQ&#10;SwUGAAAAAAYABgBZAQAAV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tbl>
      <w:tblPr>
        <w:tblStyle w:val="7"/>
        <w:tblW w:w="855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753"/>
        <w:gridCol w:w="3872"/>
        <w:gridCol w:w="1440"/>
        <w:gridCol w:w="1485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1"/>
                <w:rFonts w:ascii="宋体" w:hAnsi="宋体" w:eastAsia="黑体" w:cs="宋体"/>
                <w:b/>
                <w:bCs/>
                <w:kern w:val="0"/>
                <w:sz w:val="24"/>
              </w:rPr>
              <w:t>  </w:t>
            </w: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由</w:t>
            </w: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</w:rPr>
              <w:t>关于有序合理引导我州农村劳动力流动的建议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审查意见</w:t>
            </w: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1"/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主办：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州人社局    会办：州农业农村局、州乡村振兴局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ascii="黑体" w:hAnsi="宋体" w:eastAsia="黑体"/>
                <w:kern w:val="0"/>
                <w:sz w:val="24"/>
              </w:rPr>
            </w:pP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提</w:t>
            </w:r>
            <w:r>
              <w:rPr>
                <w:rStyle w:val="11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案</w:t>
            </w:r>
            <w:r>
              <w:rPr>
                <w:rStyle w:val="11"/>
                <w:rFonts w:hint="eastAsia" w:ascii="黑体" w:hAnsi="宋体" w:eastAsia="黑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Style w:val="11"/>
                <w:rFonts w:ascii="黑体" w:hAnsi="宋体" w:eastAsia="黑体" w:cs="宋体"/>
                <w:b/>
                <w:bCs/>
                <w:kern w:val="0"/>
                <w:sz w:val="24"/>
              </w:rPr>
              <w:t>人</w:t>
            </w:r>
            <w:r>
              <w:rPr>
                <w:rStyle w:val="11"/>
                <w:rFonts w:ascii="宋体" w:hAnsi="宋体" w:eastAsia="黑体" w:cs="宋体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1"/>
                <w:rFonts w:ascii="宋体" w:hAnsi="宋体"/>
                <w:kern w:val="0"/>
                <w:sz w:val="24"/>
              </w:rPr>
            </w:pPr>
            <w:r>
              <w:rPr>
                <w:rStyle w:val="11"/>
                <w:rFonts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c>
          <w:tcPr>
            <w:tcW w:w="1753" w:type="dxa"/>
            <w:vAlign w:val="center"/>
          </w:tcPr>
          <w:p>
            <w:pPr>
              <w:pStyle w:val="2"/>
              <w:ind w:left="0" w:leftChars="0" w:firstLine="0" w:firstLineChars="0"/>
            </w:pPr>
            <w:r>
              <w:rPr>
                <w:rFonts w:hint="eastAsia"/>
              </w:rPr>
              <w:t>民建黔东南州委</w:t>
            </w:r>
          </w:p>
        </w:tc>
        <w:tc>
          <w:tcPr>
            <w:tcW w:w="3872" w:type="dxa"/>
            <w:vAlign w:val="center"/>
          </w:tcPr>
          <w:p>
            <w:pPr>
              <w:jc w:val="left"/>
              <w:rPr>
                <w:rStyle w:val="11"/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</w:rPr>
              <w:t>凯里市文化北路15号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Style w:val="11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556000</w:t>
            </w:r>
          </w:p>
        </w:tc>
        <w:tc>
          <w:tcPr>
            <w:tcW w:w="1485" w:type="dxa"/>
            <w:vAlign w:val="center"/>
          </w:tcPr>
          <w:p>
            <w:pPr>
              <w:jc w:val="left"/>
              <w:rPr>
                <w:rStyle w:val="11"/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</w:rPr>
              <w:t>2107329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753" w:type="dxa"/>
            <w:vAlign w:val="center"/>
          </w:tcPr>
          <w:p>
            <w:pPr>
              <w:jc w:val="left"/>
              <w:rPr>
                <w:rStyle w:val="11"/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Style w:val="11"/>
                <w:rFonts w:hint="eastAsia" w:ascii="黑体" w:hAnsi="宋体" w:eastAsia="黑体" w:cs="宋体"/>
                <w:b/>
                <w:bCs/>
                <w:kern w:val="0"/>
                <w:sz w:val="24"/>
                <w:szCs w:val="22"/>
                <w:lang w:eastAsia="zh-CN"/>
              </w:rPr>
              <w:t>工作联系电话：</w:t>
            </w:r>
          </w:p>
        </w:tc>
        <w:tc>
          <w:tcPr>
            <w:tcW w:w="6797" w:type="dxa"/>
            <w:gridSpan w:val="3"/>
            <w:vAlign w:val="center"/>
          </w:tcPr>
          <w:p>
            <w:pPr>
              <w:jc w:val="left"/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州委办秘书五科：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8270060；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州政府办建议提案科：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8260016；</w:t>
            </w:r>
          </w:p>
          <w:p>
            <w:pPr>
              <w:jc w:val="left"/>
              <w:rPr>
                <w:rStyle w:val="11"/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州政协提案委：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val="en-US" w:eastAsia="zh-CN"/>
              </w:rPr>
              <w:t>8428866</w:t>
            </w:r>
            <w:r>
              <w:rPr>
                <w:rStyle w:val="11"/>
                <w:rFonts w:hint="eastAsia" w:ascii="宋体" w:hAnsi="宋体"/>
                <w:kern w:val="0"/>
                <w:sz w:val="24"/>
                <w:lang w:eastAsia="zh-CN"/>
              </w:rPr>
              <w:t>。</w:t>
            </w:r>
          </w:p>
        </w:tc>
      </w:tr>
    </w:tbl>
    <w:p>
      <w:pPr>
        <w:jc w:val="left"/>
        <w:rPr>
          <w:rStyle w:val="11"/>
          <w:rFonts w:ascii="宋体" w:hAnsi="宋体"/>
          <w:kern w:val="0"/>
          <w:sz w:val="24"/>
        </w:rPr>
      </w:pPr>
      <w:r>
        <w:rPr>
          <w:rStyle w:val="11"/>
          <w:rFonts w:ascii="宋体" w:hAnsi="宋体"/>
          <w:kern w:val="0"/>
          <w:sz w:val="24"/>
        </w:rPr>
        <mc:AlternateContent>
          <mc:Choice Requires="wps">
            <w:drawing>
              <wp:inline distT="0" distB="0" distL="114300" distR="114300">
                <wp:extent cx="5212080" cy="35560"/>
                <wp:effectExtent l="0" t="0" r="7620" b="2540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3556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2.8pt;width:410.4pt;" fillcolor="#ACA899" filled="t" stroked="f" coordsize="21600,21600" o:gfxdata="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3ccfDTAAAAAwEAAA8AAAAAAAAAAQAgAAAAIgAAAGRycy9kb3ducmV2LnhtbFBLAQIU&#10;ABQAAAAIAIdO4kBCLY2xvwEAAHcDAAAOAAAAAAAAAAEAIAAAACIBAABkcnMvZTJvRG9jLnhtbFBL&#10;BQYAAAAABgAGAFkBAAB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60" w:lineRule="exact"/>
        <w:rPr>
          <w:rStyle w:val="11"/>
          <w:rFonts w:hint="eastAsia" w:ascii="仿宋_GB2312" w:hAnsi="宋体" w:eastAsia="仿宋_GB2312"/>
          <w:kern w:val="0"/>
          <w:sz w:val="32"/>
          <w:szCs w:val="32"/>
        </w:rPr>
      </w:pPr>
      <w:r>
        <w:rPr>
          <w:rStyle w:val="11"/>
          <w:rFonts w:hint="eastAsia" w:ascii="仿宋_GB2312" w:hAnsi="宋体" w:eastAsia="仿宋_GB2312"/>
          <w:kern w:val="0"/>
          <w:sz w:val="32"/>
          <w:szCs w:val="32"/>
        </w:rPr>
        <w:t>内容和办法</w:t>
      </w:r>
      <w:r>
        <w:rPr>
          <w:rStyle w:val="11"/>
          <w:rFonts w:hint="eastAsia" w:ascii="仿宋_GB2312" w:hAnsi="宋体" w:eastAsia="仿宋_GB2312"/>
          <w:kern w:val="0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国务院总理李克强指出，就业是民生之本，是发展之基，也是财富创造的源头活水。准确把握新形势，积极应对新挑战，统筹推进农村劳动力外出就业和就近就地创业就业，有序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合理引导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农村劳动力流动，是关乎社会稳定、乡村振兴和城乡融合的全局性问题。2020年末，黔东南州户籍人口484.73万人，常住人口355.20万人，其中农村劳动力199.66万人，在外就业121.02万人（其中跨省就业79.8万人）。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一、制约农业产业发展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大量农村劳动力外出就业使农村人才流失，农村产业发展失去了主力军，耕地利用率下降，土地闲置撂荒现象严重，农业生产积极性不高，农业产业结构调整整体推进困难，无法为农业现代化提供有效的劳动力支持，不利于现代化农业生产技术推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农村”三留守”问题凸显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留守儿童、留守妇女、留守老人“三留守”问题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日益凸显，导致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公益事业建设难；人才流失选拔干部难；婚姻问题越来越突出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家庭结构容易动摇；留守儿童教育管理严重缺位；缺乏对留守老人的照护等。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劳动力综合素质偏低，竞争能力弱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教育发展相对滞后，农村劳动力整体受教育程度偏低，缺乏相应的职业技能培训，大部分从事如制造业、建筑业等劳动技能低、安全系数低、劳动强度大的行业。发达地区和东部沿海城市对劳动力整体素质要求越来越高，农村劳动力“就业难”和用工单位“招工难”的结构性矛盾依然存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就业方式存在盲目性和无序性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由于亲情观念、家族观念和家乡观念强，亲友、老乡之间信任度高，大部分农村劳动力依靠“亲带亲，友带友，邻带邻”关系自谋输出，通过政府或职业中介机构组织劳务输出外出就业的相对较少，组织松散，随意性大，风险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社会权益难以保障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农村劳动力在卫生、失业、养老、医保等方面得不到保障的问题依然严峻，克扣和拖欠工资、劳动时间长等现象时有发生，签订劳动合同的比例较低，劳动权益得不到维护。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发展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农业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产业带动就地就业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加快推进农业现代化，发展现代农业和规模农业，要加强农村基础设施建设，结合山地特点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围绕生态优势，发展山地特色农业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林下经济，加快培育支撑经济发展的支柱产业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同时吸引和培育更多适应现代化农业生产要求的新型农民，发展壮大吸纳农民就业的新市场主体，为推动农业专业化、标准化、规模化、集约化生产创造有利条件。针对农村和农民给予众多惠民政策优惠，鼓励支持各类市场主体创新发展基于互联网的新型农业产业模式，从而吸引外出农村劳动力的回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结合新型城镇化带动就近就业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一是稳住城镇就业大盘。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补齐基础设施、公共服务等短板，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发展新型服务业，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强化工业支撑作用，推进二三产业协同发力，不断增强城镇聚集产业、吸纳就业能力，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推动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新型城镇化和农业现代化相互协调，实现产镇融合、镇村融合，带动劳动者就近就业。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同时，扩大公益性岗位安置，帮助残疾人、零就业家庭成员就业；增加非全日制就业机会，鼓励个体经营发展，支持新就业形态，拓宽灵活就业渠道。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二是大力支持返乡创业。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创业项目、财政扶持、土地流转、人才引入、税费减免、担保贷款等方面为返乡创业提供具体支持，在户籍管理、子女入学、创业保障等方面营造宽松环境，吸引有技术、有能力、有抱负的返乡农村劳动力回乡兴办企业、发展产业、带动就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使一些不想从事农业生产的劳动力实现“进厂不进城，离土不离乡”。发展壮大县域经济，推动乡村振兴，不断拓宽农村劳动力就业创业空间。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健全技能培训长效机制，增强就业竞争力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eastAsia="zh-CN"/>
        </w:rPr>
        <w:t>一是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根据市场需求实施分类培训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根据企业需求对不同行业、不同工种、不同岗位进行对口职业技能培训，实现就业技能培训和就业上岗无缝对接。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依托人力资源培训中心、职业中学，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就业培训，岗前培训等，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强化专业技能、紧缺工种、新技能培训，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逐步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形成有组织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劳务输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</w:rPr>
        <w:t>由“苦力型”向“技能型”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转变的良好格局。同时，结合农村留守劳动力的实际，因地制宜，有针对性地举办农业科技、种养殖技术培训班，培育有技术、会经营、懂管理的新型农民，弥补当前农村技术、劳力的不足。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二是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加强职业道德、法律知识、维权意识和劳动纪律及安全生产等方面的教育，以培训促进就业、就业引导培训、维权稳定就业，提高农村劳动力维权意识，保障其自身的合法权益不受侵害。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0" w:leftChars="0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健全就业创业服务体系，加强精准服务</w:t>
      </w:r>
    </w:p>
    <w:p>
      <w:pPr>
        <w:ind w:firstLine="643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一是健全基层公共就业服务机构。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基层公共就业服务平台作为沟通政府部门与基层群众的桥梁，为用人单位和求职者提供求职登记、职业指导、政策咨询、职业介绍、技能培训、就业登记、失业登记等一站式服务，完善就业需求调查和失业监测预警机制，全方位地做好公共就业服务工作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二是构建畅通的就业信息平台。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一方面，</w:t>
      </w:r>
      <w:r>
        <w:rPr>
          <w:rFonts w:hint="eastAsia" w:eastAsia="仿宋_GB2312"/>
          <w:color w:val="auto"/>
          <w:sz w:val="32"/>
          <w:szCs w:val="32"/>
        </w:rPr>
        <w:t>利</w:t>
      </w:r>
      <w:r>
        <w:rPr>
          <w:rFonts w:eastAsia="仿宋_GB2312"/>
          <w:color w:val="auto"/>
          <w:sz w:val="32"/>
          <w:szCs w:val="32"/>
        </w:rPr>
        <w:t>用好</w:t>
      </w:r>
      <w:r>
        <w:rPr>
          <w:rFonts w:hint="eastAsia" w:eastAsia="仿宋_GB2312"/>
          <w:color w:val="auto"/>
          <w:sz w:val="32"/>
          <w:szCs w:val="32"/>
          <w:lang w:eastAsia="zh-CN"/>
        </w:rPr>
        <w:t>佛山</w:t>
      </w:r>
      <w:r>
        <w:rPr>
          <w:rFonts w:eastAsia="仿宋_GB2312"/>
          <w:color w:val="auto"/>
          <w:sz w:val="32"/>
          <w:szCs w:val="32"/>
        </w:rPr>
        <w:t>对口帮扶</w:t>
      </w:r>
      <w:r>
        <w:rPr>
          <w:rFonts w:hint="eastAsia" w:eastAsia="仿宋_GB2312"/>
          <w:color w:val="auto"/>
          <w:sz w:val="32"/>
          <w:szCs w:val="32"/>
          <w:lang w:eastAsia="zh-CN"/>
        </w:rPr>
        <w:t>黔东南州</w:t>
      </w:r>
      <w:r>
        <w:rPr>
          <w:rFonts w:eastAsia="仿宋_GB2312"/>
          <w:color w:val="auto"/>
          <w:sz w:val="32"/>
          <w:szCs w:val="32"/>
        </w:rPr>
        <w:t>的机遇，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加强与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佛山市、“长三角”“珠三角”城市的劳务对接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广泛收集用工岗位信息，通过线上线下相结合的方式，不断开展各类型招聘会，并通过就业APP、微信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公众号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等新媒体平台推送各类就业信息，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疏通转移渠道，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引导广大农村劳动力“走出去”务工就业。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另一方面，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加大社会中介组织的培育力度，开展有组织劳务输出，协调对接返岗较为集中的输入地政府、企业，为农村劳动力就业提供信息，搞好服务。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三是全面落实就业创业扶持政策。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完善引导就业、激励就业、扶持就业、对接就业的政策，及时兑现创业补贴、培训补贴、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就业援助补贴、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社会保险补贴等就业创业扶持政策，全面落实就业创业政策，逐步完善就业创业政策体系。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同时，突出抓好高校毕业生、就业困难人员、易地搬迁劳动力、退役军人等重点群体就业创业。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四是强化农村劳动力权益保障。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完善农民工输出地和输入地之间的维权工作协调机制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输出地和输入地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高度配合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共同参与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，合力维权。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一方面，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输入地要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切实维护外出务工农村劳动力的社会权益，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加强劳动监管，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加大查处力度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健全劳务纠纷协调仲裁机构，依法严厉打击针对农村劳动力的各种违法犯罪行为，帮助农村劳动力解决好拖欠工资、劳动环境差和工伤事故频发等突出问题，为农村劳动力转移创造一个良好的社会环境。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另一方面，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建议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输出地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工会、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人社局、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妇联和司法部门根据服务对象的需要，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在沿海发达城市的农村劳动力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聚集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地、本地外出人员集中地设立服务站、开通免费服务热线等方式，维护外出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农村劳动力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在工资待遇、劳动保护、生活条件、社会保险以及工伤、死亡事故处理等应有权益，为外出务工人员提供政策咨询、维权服务等服务。</w:t>
      </w:r>
    </w:p>
    <w:p>
      <w:pPr>
        <w:spacing w:line="560" w:lineRule="exact"/>
        <w:ind w:firstLine="643" w:firstLineChars="200"/>
        <w:rPr>
          <w:rStyle w:val="11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643" w:firstLineChars="200"/>
        <w:rPr>
          <w:rStyle w:val="11"/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1"/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注：</w:t>
      </w:r>
      <w:r>
        <w:rPr>
          <w:rStyle w:val="11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1、提案会办单位需将会办意见送主办单位，由主办单位连同《提案答复件》、《征询意见表》一并抄送州政协；（涉及目标考核）</w:t>
      </w:r>
    </w:p>
    <w:p>
      <w:pPr>
        <w:spacing w:line="560" w:lineRule="exact"/>
        <w:ind w:firstLine="1280" w:firstLineChars="400"/>
        <w:rPr>
          <w:rStyle w:val="11"/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Style w:val="11"/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2、州政协联系方式：州政协办402室、传真8428882，协同账号：州政协办公室收发员（备注：XXX号提案答复件）。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989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11"/>
    <w:rsid w:val="00062089"/>
    <w:rsid w:val="002F6404"/>
    <w:rsid w:val="00372D70"/>
    <w:rsid w:val="004D0222"/>
    <w:rsid w:val="004E6BC5"/>
    <w:rsid w:val="00507FB8"/>
    <w:rsid w:val="00551F39"/>
    <w:rsid w:val="00554776"/>
    <w:rsid w:val="00654375"/>
    <w:rsid w:val="007055DB"/>
    <w:rsid w:val="007D1DFD"/>
    <w:rsid w:val="00840276"/>
    <w:rsid w:val="008A6967"/>
    <w:rsid w:val="008E32D7"/>
    <w:rsid w:val="008E5289"/>
    <w:rsid w:val="00A351EC"/>
    <w:rsid w:val="00A75BD7"/>
    <w:rsid w:val="00A94399"/>
    <w:rsid w:val="00A97C93"/>
    <w:rsid w:val="00C76ECC"/>
    <w:rsid w:val="00D123BF"/>
    <w:rsid w:val="00DD129A"/>
    <w:rsid w:val="00EA1493"/>
    <w:rsid w:val="00FB6911"/>
    <w:rsid w:val="00FF3F01"/>
    <w:rsid w:val="06503351"/>
    <w:rsid w:val="07D26AFC"/>
    <w:rsid w:val="08B66956"/>
    <w:rsid w:val="10B40BCC"/>
    <w:rsid w:val="118823F2"/>
    <w:rsid w:val="18EC1E64"/>
    <w:rsid w:val="1AF076FF"/>
    <w:rsid w:val="1BAB45FA"/>
    <w:rsid w:val="20E366FE"/>
    <w:rsid w:val="21EA0B57"/>
    <w:rsid w:val="29327B58"/>
    <w:rsid w:val="29EB237C"/>
    <w:rsid w:val="2FD84B80"/>
    <w:rsid w:val="30B878C9"/>
    <w:rsid w:val="32794BB9"/>
    <w:rsid w:val="33552650"/>
    <w:rsid w:val="336B6A5B"/>
    <w:rsid w:val="377737A4"/>
    <w:rsid w:val="38D60616"/>
    <w:rsid w:val="39FA5D72"/>
    <w:rsid w:val="3A7B4D73"/>
    <w:rsid w:val="3F1A5C90"/>
    <w:rsid w:val="42F10C9F"/>
    <w:rsid w:val="44195CBE"/>
    <w:rsid w:val="493508EE"/>
    <w:rsid w:val="497C7186"/>
    <w:rsid w:val="4A196944"/>
    <w:rsid w:val="4D7F6A93"/>
    <w:rsid w:val="4F1E6C2C"/>
    <w:rsid w:val="4F6B5D70"/>
    <w:rsid w:val="507F065A"/>
    <w:rsid w:val="5236789E"/>
    <w:rsid w:val="559F1A55"/>
    <w:rsid w:val="5A7C34BF"/>
    <w:rsid w:val="5AA17385"/>
    <w:rsid w:val="5B7C24C8"/>
    <w:rsid w:val="5F7A18E0"/>
    <w:rsid w:val="61895CCF"/>
    <w:rsid w:val="66F35DD9"/>
    <w:rsid w:val="6854075C"/>
    <w:rsid w:val="69A37ABB"/>
    <w:rsid w:val="6E30569D"/>
    <w:rsid w:val="7C1F06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szCs w:val="20"/>
    </w:rPr>
  </w:style>
  <w:style w:type="paragraph" w:styleId="3">
    <w:name w:val="footer"/>
    <w:basedOn w:val="1"/>
    <w:link w:val="22"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0"/>
      </w:pBdr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0"/>
    <w:rPr>
      <w:rFonts w:cs="Times New Roman"/>
      <w:b/>
      <w:bCs/>
    </w:rPr>
  </w:style>
  <w:style w:type="character" w:styleId="10">
    <w:name w:val="Hyperlink"/>
    <w:basedOn w:val="11"/>
    <w:semiHidden/>
    <w:qFormat/>
    <w:uiPriority w:val="0"/>
    <w:rPr>
      <w:color w:val="0000FF"/>
      <w:u w:val="single"/>
    </w:rPr>
  </w:style>
  <w:style w:type="character" w:customStyle="1" w:styleId="11">
    <w:name w:val="NormalCharacter"/>
    <w:semiHidden/>
    <w:qFormat/>
    <w:uiPriority w:val="0"/>
  </w:style>
  <w:style w:type="paragraph" w:customStyle="1" w:styleId="12">
    <w:name w:val="正文-公1"/>
    <w:basedOn w:val="1"/>
    <w:qFormat/>
    <w:uiPriority w:val="99"/>
    <w:pPr>
      <w:ind w:firstLine="200" w:firstLineChars="200"/>
    </w:pPr>
    <w:rPr>
      <w:rFonts w:ascii="Calibri" w:hAnsi="Calibri"/>
    </w:rPr>
  </w:style>
  <w:style w:type="paragraph" w:customStyle="1" w:styleId="13">
    <w:name w:val="Heading1"/>
    <w:basedOn w:val="1"/>
    <w:link w:val="19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table" w:customStyle="1" w:styleId="14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Acetate"/>
    <w:basedOn w:val="1"/>
    <w:qFormat/>
    <w:uiPriority w:val="0"/>
    <w:rPr>
      <w:sz w:val="18"/>
      <w:szCs w:val="18"/>
    </w:rPr>
  </w:style>
  <w:style w:type="paragraph" w:customStyle="1" w:styleId="16">
    <w:name w:val="UserStyle_0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6"/>
      <w:szCs w:val="36"/>
    </w:rPr>
  </w:style>
  <w:style w:type="paragraph" w:customStyle="1" w:styleId="17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54"/>
      <w:szCs w:val="54"/>
    </w:rPr>
  </w:style>
  <w:style w:type="paragraph" w:customStyle="1" w:styleId="18">
    <w:name w:val="UserStyle_2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9">
    <w:name w:val="UserStyle_3"/>
    <w:basedOn w:val="11"/>
    <w:link w:val="13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UserStyle_4"/>
    <w:basedOn w:val="11"/>
    <w:qFormat/>
    <w:uiPriority w:val="0"/>
  </w:style>
  <w:style w:type="paragraph" w:customStyle="1" w:styleId="21">
    <w:name w:val="HtmlNormal"/>
    <w:basedOn w:val="1"/>
    <w:semiHidden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2">
    <w:name w:val="页脚 Char"/>
    <w:basedOn w:val="8"/>
    <w:link w:val="3"/>
    <w:qFormat/>
    <w:uiPriority w:val="99"/>
    <w:rPr>
      <w:rFonts w:cstheme="minorBidi"/>
      <w:kern w:val="2"/>
      <w:sz w:val="18"/>
      <w:szCs w:val="18"/>
    </w:rPr>
  </w:style>
  <w:style w:type="paragraph" w:customStyle="1" w:styleId="23">
    <w:name w:val="Body text|2"/>
    <w:basedOn w:val="1"/>
    <w:qFormat/>
    <w:uiPriority w:val="0"/>
    <w:pPr>
      <w:spacing w:after="300"/>
      <w:ind w:firstLine="740"/>
    </w:pPr>
    <w:rPr>
      <w:rFonts w:ascii="宋体" w:hAnsi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4</Pages>
  <Words>307</Words>
  <Characters>1751</Characters>
  <Lines>14</Lines>
  <Paragraphs>4</Paragraphs>
  <TotalTime>3</TotalTime>
  <ScaleCrop>false</ScaleCrop>
  <LinksUpToDate>false</LinksUpToDate>
  <CharactersWithSpaces>2054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2021-01-13T04:51:00Z</dcterms:created>
  <dc:creator>Administrator</dc:creator>
  <cp:lastModifiedBy>丘丘</cp:lastModifiedBy>
  <cp:lastPrinted>2022-01-08T09:14:20Z</cp:lastPrinted>
  <dcterms:modified xsi:type="dcterms:W3CDTF">2022-01-08T09:15:47Z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E19B21A67DE14BDE916AC592ABBC9D8F</vt:lpwstr>
  </property>
</Properties>
</file>