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before="0" w:beforeAutospacing="0" w:after="0" w:afterAutospacing="0" w:line="600" w:lineRule="exact"/>
        <w:jc w:val="center"/>
        <w:rPr>
          <w:rStyle w:val="20"/>
          <w:rFonts w:ascii="黑体" w:eastAsia="黑体"/>
          <w:sz w:val="44"/>
          <w:szCs w:val="44"/>
        </w:rPr>
      </w:pPr>
      <w:r>
        <w:rPr>
          <w:rStyle w:val="17"/>
          <w:rFonts w:ascii="黑体" w:eastAsia="黑体" w:cs="宋体"/>
          <w:sz w:val="44"/>
          <w:szCs w:val="44"/>
        </w:rPr>
        <w:t>中国人民政治协商会议</w:t>
      </w:r>
    </w:p>
    <w:p>
      <w:pPr>
        <w:pStyle w:val="26"/>
        <w:spacing w:before="0" w:beforeAutospacing="0" w:after="0" w:afterAutospacing="0" w:line="600" w:lineRule="exact"/>
        <w:jc w:val="center"/>
        <w:rPr>
          <w:rStyle w:val="20"/>
          <w:rFonts w:hint="eastAsia"/>
          <w:sz w:val="44"/>
          <w:szCs w:val="44"/>
        </w:rPr>
      </w:pPr>
      <w:r>
        <w:rPr>
          <w:rStyle w:val="20"/>
          <w:sz w:val="44"/>
          <w:szCs w:val="44"/>
        </w:rPr>
        <w:t>黔东南苗族侗族自治州委员会</w:t>
      </w:r>
    </w:p>
    <w:p>
      <w:pPr>
        <w:pStyle w:val="26"/>
        <w:spacing w:before="0" w:beforeAutospacing="0" w:after="0" w:afterAutospacing="0" w:line="600" w:lineRule="exact"/>
        <w:jc w:val="center"/>
        <w:rPr>
          <w:rStyle w:val="20"/>
          <w:rFonts w:hint="eastAsia"/>
          <w:sz w:val="44"/>
          <w:szCs w:val="44"/>
        </w:rPr>
      </w:pPr>
      <w:r>
        <w:rPr>
          <w:rStyle w:val="20"/>
          <w:sz w:val="44"/>
          <w:szCs w:val="44"/>
        </w:rPr>
        <w:t>提</w:t>
      </w:r>
      <w:r>
        <w:rPr>
          <w:rStyle w:val="20"/>
          <w:rFonts w:hint="eastAsia"/>
          <w:sz w:val="44"/>
          <w:szCs w:val="44"/>
        </w:rPr>
        <w:t xml:space="preserve">   </w:t>
      </w:r>
      <w:r>
        <w:rPr>
          <w:rStyle w:val="2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2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2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2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20"/>
          <w:rFonts w:ascii="宋体" w:hAnsi="宋体"/>
          <w:kern w:val="0"/>
          <w:sz w:val="24"/>
        </w:rPr>
        <w:t>第十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20"/>
          <w:rFonts w:ascii="宋体" w:hAnsi="宋体"/>
          <w:kern w:val="0"/>
          <w:sz w:val="24"/>
        </w:rPr>
        <w:t>届第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20"/>
          <w:rFonts w:ascii="宋体" w:hAnsi="宋体"/>
          <w:kern w:val="0"/>
          <w:sz w:val="24"/>
        </w:rPr>
        <w:t>次会议　       　第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006</w:t>
      </w:r>
      <w:bookmarkStart w:id="0" w:name="_GoBack"/>
      <w:bookmarkEnd w:id="0"/>
      <w:r>
        <w:rPr>
          <w:rStyle w:val="20"/>
          <w:rFonts w:ascii="宋体" w:hAnsi="宋体"/>
          <w:kern w:val="0"/>
          <w:sz w:val="24"/>
        </w:rPr>
        <w:t xml:space="preserve">号　    </w:t>
      </w:r>
      <w:r>
        <w:rPr>
          <w:rStyle w:val="20"/>
          <w:rFonts w:hint="eastAsia" w:ascii="宋体" w:hAnsi="宋体"/>
          <w:kern w:val="0"/>
          <w:sz w:val="24"/>
        </w:rPr>
        <w:t xml:space="preserve">    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</w:rPr>
              <w:t>关于绿色高质量发展黔东南州水产养殖业的建议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主办：州农业农村局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 xml:space="preserve"> 会办：州水务局、州生态环境局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黑体" w:hAnsi="宋体" w:eastAsia="黑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2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2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民进黔东南州委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刘业海</w:t>
            </w:r>
          </w:p>
        </w:tc>
        <w:tc>
          <w:tcPr>
            <w:tcW w:w="3872" w:type="dxa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凯里市</w:t>
            </w:r>
            <w:r>
              <w:rPr>
                <w:rFonts w:hint="eastAsia" w:ascii="Times New Roman" w:hAnsi="Times New Roman"/>
                <w:lang w:val="en-US" w:eastAsia="zh-CN"/>
              </w:rPr>
              <w:t>文化北路15号</w:t>
            </w:r>
          </w:p>
        </w:tc>
        <w:tc>
          <w:tcPr>
            <w:tcW w:w="1440" w:type="dxa"/>
            <w:vAlign w:val="top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556000</w:t>
            </w:r>
          </w:p>
        </w:tc>
        <w:tc>
          <w:tcPr>
            <w:tcW w:w="1485" w:type="dxa"/>
            <w:vAlign w:val="top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</w:rPr>
              <w:t>13885507218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2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Style w:val="2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2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2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2021 年 1 月 1 日起，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黔东南州</w:t>
      </w:r>
      <w:r>
        <w:rPr>
          <w:rFonts w:hint="eastAsia" w:ascii="仿宋_GB2312" w:eastAsia="仿宋_GB2312"/>
          <w:sz w:val="32"/>
          <w:szCs w:val="32"/>
        </w:rPr>
        <w:t>长江流域天然水域十年禁捕政策</w:t>
      </w:r>
      <w:r>
        <w:rPr>
          <w:rFonts w:hint="eastAsia" w:ascii="仿宋_GB2312" w:eastAsia="仿宋_GB2312"/>
          <w:sz w:val="32"/>
          <w:szCs w:val="32"/>
          <w:lang w:eastAsia="zh-CN"/>
        </w:rPr>
        <w:t>正式</w:t>
      </w:r>
      <w:r>
        <w:rPr>
          <w:rFonts w:hint="eastAsia" w:ascii="仿宋_GB2312" w:eastAsia="仿宋_GB2312"/>
          <w:sz w:val="32"/>
          <w:szCs w:val="32"/>
        </w:rPr>
        <w:t>启动实施，</w:t>
      </w:r>
      <w:r>
        <w:rPr>
          <w:rFonts w:hint="eastAsia" w:ascii="仿宋_GB2312" w:eastAsia="仿宋_GB2312"/>
          <w:sz w:val="32"/>
          <w:szCs w:val="32"/>
          <w:lang w:eastAsia="zh-CN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青山绿水、气候温和，生态优良、水资源丰富的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黔东南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，绿色高质量发展水产养殖业带来机遇。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但也发现以下困难和问题：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一、在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政策层面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bCs/>
          <w:sz w:val="32"/>
          <w:szCs w:val="32"/>
        </w:rPr>
        <w:t>大水面生态渔业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级配套政策滞后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国家</w:t>
      </w:r>
      <w:r>
        <w:rPr>
          <w:rFonts w:ascii="仿宋_GB2312" w:hAnsi="仿宋_GB2312" w:eastAsia="仿宋_GB2312" w:cs="仿宋_GB2312"/>
          <w:bCs/>
          <w:sz w:val="32"/>
          <w:szCs w:val="32"/>
        </w:rPr>
        <w:t>农业农村部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生态环境部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林草局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于2020年4月出台了《</w:t>
      </w:r>
      <w:r>
        <w:rPr>
          <w:rFonts w:ascii="仿宋_GB2312" w:hAnsi="仿宋_GB2312" w:eastAsia="仿宋_GB2312" w:cs="仿宋_GB2312"/>
          <w:bCs/>
          <w:sz w:val="32"/>
          <w:szCs w:val="32"/>
        </w:rPr>
        <w:t>关于推进大水面生态渔业发展的指导意见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黔东南州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尚未针对大水面生态渔业出台具体实施意见，企业在制定发展战略方面还有顾虑。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地方养殖水域滩涂规划受限于国土空间规划，制约了水产苗种场和池塘养殖规模化发展。稻渔综合种养缺乏长效资金支持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二、在企业组织层面。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企业资金缺乏，对老旧鱼塘升级改造、养殖尾水处理投入积极性不高；稻田综合种养缺乏龙头企业带动，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稻养殖面积大多以农散户散养为主，缺乏有组织的管理和经营，集约化和高效生产难，稻田鱼商品率不高；</w:t>
      </w:r>
      <w:r>
        <w:rPr>
          <w:rFonts w:hint="eastAsia" w:ascii="仿宋_GB2312" w:hAnsi="黑体" w:eastAsia="仿宋_GB2312" w:cs="黑体"/>
          <w:sz w:val="32"/>
          <w:szCs w:val="32"/>
        </w:rPr>
        <w:t>小型水库“大水面”资源分散，不利于集中开发管理。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三、在技术生产层面。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本地苗种产能不足，</w:t>
      </w:r>
      <w:r>
        <w:rPr>
          <w:rFonts w:ascii="仿宋_GB2312" w:hAnsi="仿宋_GB2312" w:eastAsia="仿宋_GB2312" w:cs="仿宋_GB2312"/>
          <w:sz w:val="32"/>
          <w:szCs w:val="32"/>
        </w:rPr>
        <w:t>优良的本地鲤鱼苗种产能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无法满足</w:t>
      </w:r>
      <w:r>
        <w:rPr>
          <w:rFonts w:ascii="仿宋_GB2312" w:hAnsi="仿宋_GB2312" w:eastAsia="仿宋_GB2312" w:cs="仿宋_GB2312"/>
          <w:sz w:val="32"/>
          <w:szCs w:val="32"/>
        </w:rPr>
        <w:t>稻鱼综合种养</w:t>
      </w:r>
      <w:r>
        <w:rPr>
          <w:rFonts w:hint="eastAsia" w:ascii="仿宋_GB2312" w:hAnsi="仿宋_GB2312" w:eastAsia="仿宋_GB2312" w:cs="仿宋_GB2312"/>
          <w:sz w:val="32"/>
          <w:szCs w:val="32"/>
        </w:rPr>
        <w:t>投放</w:t>
      </w:r>
      <w:r>
        <w:rPr>
          <w:rFonts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要；大水面增殖放养的滤食性鱼类鲢鱼、鳙</w:t>
      </w:r>
      <w:r>
        <w:rPr>
          <w:rFonts w:hint="eastAsia" w:ascii="仿宋_GB2312" w:hAnsi="黑体" w:eastAsia="仿宋_GB2312" w:cs="黑体"/>
          <w:sz w:val="32"/>
          <w:szCs w:val="32"/>
        </w:rPr>
        <w:t>鱼种“本土化”产业链支撑问题尚未解决</w:t>
      </w:r>
      <w:r>
        <w:rPr>
          <w:rFonts w:hint="eastAsia" w:ascii="仿宋_GB2312" w:hAnsi="仿宋_GB2312" w:eastAsia="仿宋_GB2312" w:cs="仿宋_GB2312"/>
          <w:sz w:val="32"/>
          <w:szCs w:val="32"/>
        </w:rPr>
        <w:t>；湖库生态养殖水面利用率不高，约有15万亩水面待开发，湖库生态养殖捕捞产量与实际预计产量相差较大，大水面养殖产能较低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水产品养殖病害防治药物依赖较大，不符合绿色发展要求。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四、在水环境层面。</w:t>
      </w:r>
      <w:r>
        <w:rPr>
          <w:rFonts w:hint="eastAsia" w:ascii="仿宋_GB2312" w:hAnsi="宋体" w:eastAsia="仿宋_GB2312"/>
          <w:sz w:val="32"/>
          <w:szCs w:val="32"/>
        </w:rPr>
        <w:t>工业废水和生活污水污染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。例如：</w:t>
      </w:r>
      <w:r>
        <w:rPr>
          <w:rFonts w:hint="eastAsia" w:ascii="仿宋_GB2312" w:hAnsi="宋体" w:eastAsia="仿宋_GB2312"/>
          <w:sz w:val="32"/>
          <w:szCs w:val="32"/>
        </w:rPr>
        <w:t>清水江上游化工企业的生产废水排放造成河流水体中磷、氟超标；流域内城镇乡村大量生活污水直接排入河中，对渔业资源造成严重破坏。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生产过程中油类污染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油类中的水溶性组分对鱼类有直接毒害作用，可使鱼类出现中毒甚至死亡；油类可直接使鱼类附着臭味或随食物进入鱼、虾、贝、藻类体内后造成异味，危害人们的健康。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水电站拦河坝彻底改变了天然河道的自然流态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大坝的构筑阻隔鱼类繁殖的洄游通道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原江河急流型鱼类及底栖生物因水域生态环境骤变而消亡。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建议：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一、做好养殖用地规划。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按照“多规合一”要求，重点做好“稻渔综合种养区”“湖库生态渔业区”“冷流水养殖区”“循环水养殖区”养殖滩涂水域规划</w:t>
      </w:r>
      <w:r>
        <w:rPr>
          <w:rFonts w:ascii="仿宋_GB2312" w:hAnsi="仿宋_GB2312" w:eastAsia="仿宋_GB2312" w:cs="仿宋_GB2312"/>
          <w:sz w:val="32"/>
          <w:szCs w:val="32"/>
        </w:rPr>
        <w:t>，加强重要养殖水域滩涂保护，严禁擅自占用和改变养殖水域滩涂用途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，为水产养殖业提供用地保障。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二、做优稻渔综合种养产业。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强化稻鱼综合种养龙头企业培育，</w:t>
      </w:r>
      <w:r>
        <w:rPr>
          <w:rFonts w:ascii="仿宋_GB2312" w:hAnsi="仿宋_GB2312" w:eastAsia="仿宋_GB2312" w:cs="仿宋_GB2312"/>
          <w:sz w:val="32"/>
          <w:szCs w:val="32"/>
        </w:rPr>
        <w:t>整合涉农资金力度加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ascii="仿宋_GB2312" w:hAnsi="仿宋_GB2312" w:eastAsia="仿宋_GB2312" w:cs="仿宋_GB2312"/>
          <w:sz w:val="32"/>
          <w:szCs w:val="32"/>
        </w:rPr>
        <w:t>稻渔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综合种养</w:t>
      </w:r>
      <w:r>
        <w:rPr>
          <w:rFonts w:ascii="仿宋_GB2312" w:hAnsi="仿宋_GB2312" w:eastAsia="仿宋_GB2312" w:cs="仿宋_GB2312"/>
          <w:sz w:val="32"/>
          <w:szCs w:val="32"/>
        </w:rPr>
        <w:t>产业项目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资金扶持力度</w:t>
      </w:r>
      <w:r>
        <w:rPr>
          <w:rFonts w:ascii="仿宋_GB2312" w:hAnsi="仿宋_GB2312" w:eastAsia="仿宋_GB2312" w:cs="仿宋_GB2312"/>
          <w:sz w:val="32"/>
          <w:szCs w:val="32"/>
        </w:rPr>
        <w:t>，提高稻渔产业项目资金的利用率和经济效益。积极引导企业、合作社及</w:t>
      </w:r>
      <w:r>
        <w:rPr>
          <w:rFonts w:hint="eastAsia" w:ascii="仿宋_GB2312" w:hAnsi="仿宋_GB2312" w:eastAsia="仿宋_GB2312" w:cs="仿宋_GB2312"/>
          <w:sz w:val="32"/>
          <w:szCs w:val="32"/>
        </w:rPr>
        <w:t>种养殖</w:t>
      </w:r>
      <w:r>
        <w:rPr>
          <w:rFonts w:ascii="仿宋_GB2312" w:hAnsi="仿宋_GB2312" w:eastAsia="仿宋_GB2312" w:cs="仿宋_GB2312"/>
          <w:sz w:val="32"/>
          <w:szCs w:val="32"/>
        </w:rPr>
        <w:t>大户大力推进稻渔鱼种繁育、</w:t>
      </w:r>
      <w:r>
        <w:rPr>
          <w:rFonts w:hint="eastAsia" w:ascii="仿宋_GB2312" w:hAnsi="仿宋_GB2312" w:eastAsia="仿宋_GB2312" w:cs="仿宋_GB2312"/>
          <w:sz w:val="32"/>
          <w:szCs w:val="32"/>
        </w:rPr>
        <w:t>鱼苗</w:t>
      </w:r>
      <w:r>
        <w:rPr>
          <w:rFonts w:ascii="仿宋_GB2312" w:hAnsi="仿宋_GB2312" w:eastAsia="仿宋_GB2312" w:cs="仿宋_GB2312"/>
          <w:sz w:val="32"/>
          <w:szCs w:val="32"/>
        </w:rPr>
        <w:t>培育基地建设，打造一批稻渔产业苗种生产示范基地。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三、做大湖库生态养殖业。</w:t>
      </w:r>
      <w:r>
        <w:rPr>
          <w:rFonts w:hint="eastAsia" w:ascii="仿宋_GB2312" w:hAnsi="仿宋" w:eastAsia="仿宋_GB2312"/>
          <w:sz w:val="32"/>
          <w:szCs w:val="32"/>
        </w:rPr>
        <w:t>进一步优化湖库生态养殖布局，</w:t>
      </w:r>
      <w:r>
        <w:rPr>
          <w:rFonts w:hint="eastAsia" w:ascii="仿宋_GB2312" w:hAnsi="仿宋" w:eastAsia="仿宋_GB2312" w:cs="仿宋_GB2312"/>
          <w:sz w:val="32"/>
          <w:szCs w:val="32"/>
        </w:rPr>
        <w:t>兼顾大水面在防洪、供水、生态、渔业等多方面的功能，</w:t>
      </w:r>
      <w:r>
        <w:rPr>
          <w:rFonts w:hint="eastAsia" w:ascii="仿宋_GB2312" w:hAnsi="仿宋" w:eastAsia="仿宋_GB2312"/>
          <w:sz w:val="32"/>
          <w:szCs w:val="32"/>
        </w:rPr>
        <w:t>建立大水面有偿使用机制，</w:t>
      </w:r>
      <w:r>
        <w:rPr>
          <w:rFonts w:hint="eastAsia" w:ascii="仿宋_GB2312" w:hAnsi="仿宋" w:eastAsia="仿宋_GB2312" w:cs="仿宋_GB2312"/>
          <w:sz w:val="32"/>
          <w:szCs w:val="32"/>
        </w:rPr>
        <w:t>实现“一水多用、多方共赢”。</w:t>
      </w:r>
      <w:r>
        <w:rPr>
          <w:rFonts w:hint="eastAsia" w:ascii="仿宋_GB2312" w:hAnsi="仿宋" w:eastAsia="仿宋_GB2312"/>
          <w:sz w:val="32"/>
          <w:szCs w:val="32"/>
        </w:rPr>
        <w:t>按照“一库一策”</w:t>
      </w:r>
      <w:r>
        <w:rPr>
          <w:rFonts w:hint="eastAsia" w:ascii="仿宋_GB2312" w:hAnsi="仿宋" w:eastAsia="仿宋_GB2312" w:cs="仿宋_GB2312"/>
          <w:sz w:val="32"/>
          <w:szCs w:val="32"/>
        </w:rPr>
        <w:t>科学评估水体环境承载力、生态养殖容量和水资源可开发利用量，发展不投饵滤食性、草食性鱼类及地方土著鱼类等生态渔业，达到以渔净水、以渔控草、以渔抑藻的目的。同时，</w:t>
      </w:r>
      <w:r>
        <w:rPr>
          <w:rFonts w:hint="eastAsia" w:ascii="仿宋_GB2312" w:hAnsi="宋体" w:eastAsia="仿宋_GB2312"/>
          <w:sz w:val="32"/>
          <w:szCs w:val="32"/>
        </w:rPr>
        <w:t>制定库湾养殖标准，在库区浅水区的库汊、库湾等开展适度规模栏网养殖等方式培育鱼种，将鱼种放养到大库区养至成鱼，形成库区“一条龙”的养殖模式。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pacing w:val="6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四、做强科技支撑体系。</w:t>
      </w:r>
      <w:r>
        <w:rPr>
          <w:rFonts w:ascii="仿宋_GB2312" w:hAnsi="宋体" w:eastAsia="仿宋_GB2312"/>
          <w:spacing w:val="6"/>
          <w:kern w:val="0"/>
          <w:sz w:val="32"/>
          <w:szCs w:val="32"/>
        </w:rPr>
        <w:t>强化水产科技服务与模式创新，</w:t>
      </w:r>
      <w:r>
        <w:rPr>
          <w:rFonts w:hint="eastAsia" w:ascii="仿宋_GB2312" w:hAnsi="宋体" w:eastAsia="仿宋_GB2312"/>
          <w:spacing w:val="6"/>
          <w:kern w:val="0"/>
          <w:sz w:val="32"/>
          <w:szCs w:val="32"/>
        </w:rPr>
        <w:t>推动</w:t>
      </w:r>
      <w:r>
        <w:rPr>
          <w:rFonts w:ascii="仿宋_GB2312" w:hAnsi="宋体" w:eastAsia="仿宋_GB2312"/>
          <w:spacing w:val="6"/>
          <w:kern w:val="0"/>
          <w:sz w:val="32"/>
          <w:szCs w:val="32"/>
        </w:rPr>
        <w:t>高等院校及科研院所</w:t>
      </w:r>
      <w:r>
        <w:rPr>
          <w:rFonts w:hint="eastAsia" w:ascii="仿宋_GB2312" w:hAnsi="宋体" w:eastAsia="仿宋_GB2312"/>
          <w:spacing w:val="6"/>
          <w:kern w:val="0"/>
          <w:sz w:val="32"/>
          <w:szCs w:val="32"/>
        </w:rPr>
        <w:t>与企业合作共建生态</w:t>
      </w:r>
      <w:r>
        <w:rPr>
          <w:rFonts w:ascii="仿宋_GB2312" w:hAnsi="宋体" w:eastAsia="仿宋_GB2312"/>
          <w:spacing w:val="6"/>
          <w:kern w:val="0"/>
          <w:sz w:val="32"/>
          <w:szCs w:val="32"/>
        </w:rPr>
        <w:t>养殖基地，打造生态渔业产、学、研、推技术平台，紧紧围绕节能减排、养殖尾水处理、水域生态环境的修复、土著经济鱼类繁殖育苗、设施渔业苗种培育、湖库</w:t>
      </w:r>
      <w:r>
        <w:rPr>
          <w:rFonts w:hint="eastAsia" w:ascii="仿宋_GB2312" w:hAnsi="宋体" w:eastAsia="仿宋_GB2312"/>
          <w:spacing w:val="6"/>
          <w:kern w:val="0"/>
          <w:sz w:val="32"/>
          <w:szCs w:val="32"/>
        </w:rPr>
        <w:t>增殖</w:t>
      </w:r>
      <w:r>
        <w:rPr>
          <w:rFonts w:ascii="仿宋_GB2312" w:hAnsi="宋体" w:eastAsia="仿宋_GB2312"/>
          <w:spacing w:val="6"/>
          <w:kern w:val="0"/>
          <w:sz w:val="32"/>
          <w:szCs w:val="32"/>
        </w:rPr>
        <w:t>鱼类捕捞、水产品精深加工等技术开展研究，制定符合</w:t>
      </w:r>
      <w:r>
        <w:rPr>
          <w:rFonts w:hint="eastAsia" w:ascii="仿宋_GB2312" w:hAnsi="宋体" w:eastAsia="仿宋_GB2312"/>
          <w:spacing w:val="6"/>
          <w:kern w:val="0"/>
          <w:sz w:val="32"/>
          <w:szCs w:val="32"/>
          <w:lang w:eastAsia="zh-CN"/>
        </w:rPr>
        <w:t>各市州</w:t>
      </w:r>
      <w:r>
        <w:rPr>
          <w:rFonts w:ascii="仿宋_GB2312" w:hAnsi="宋体" w:eastAsia="仿宋_GB2312"/>
          <w:spacing w:val="6"/>
          <w:kern w:val="0"/>
          <w:sz w:val="32"/>
          <w:szCs w:val="32"/>
        </w:rPr>
        <w:t>实际的水产苗种繁育标准、高效养殖、疾病防治等养殖技术规范。引进推广池塘工程化循环水养殖、集装箱养殖、异位循环水养殖、工厂化养殖等现代绿色高效设施渔业</w:t>
      </w:r>
      <w:r>
        <w:rPr>
          <w:rFonts w:hint="eastAsia" w:ascii="仿宋_GB2312" w:hAnsi="宋体" w:eastAsia="仿宋_GB2312"/>
          <w:spacing w:val="6"/>
          <w:kern w:val="0"/>
          <w:sz w:val="32"/>
          <w:szCs w:val="32"/>
        </w:rPr>
        <w:t>；</w:t>
      </w:r>
      <w:r>
        <w:rPr>
          <w:rFonts w:ascii="仿宋_GB2312" w:hAnsi="宋体" w:eastAsia="仿宋_GB2312"/>
          <w:spacing w:val="6"/>
          <w:kern w:val="0"/>
          <w:sz w:val="32"/>
          <w:szCs w:val="32"/>
        </w:rPr>
        <w:t>探索推广智慧水产养殖，引导物联网、大数据、人工智能、5G等现代信息技术与水产养殖生产深度融合，开展数字渔业示范，强化水产养殖技术支撑。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五、抓实渔政执法管理。</w:t>
      </w:r>
      <w:r>
        <w:rPr>
          <w:rFonts w:hint="eastAsia" w:ascii="仿宋_GB2312" w:hAnsi="宋体" w:eastAsia="仿宋_GB2312"/>
          <w:sz w:val="32"/>
          <w:szCs w:val="32"/>
        </w:rPr>
        <w:t>进一步加大《渔业法》《环境保护法》等法律法规宣传力度，贯彻落实好禁渔区执法制度，充分发挥渔政管理职能，依法划定大水面增殖捕捞作业区域和作业时限。严厉打击违法违规使用禁用药品、兽（渔）药原药及其他化合物等行为。落实水产品质量安全属地监管职责，加大产地养殖水产品质量安全风险监测、评估和监督抽查力度；加快渔业生态环境监测体系和制度建设，严防生活污水、工业废水及油类污染；加强养殖水域的环境监督管理，开展典型案例警示教育，增强人民保护水生生物资源、保护水域生态环境的意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六、抓牢河流生态环境保护。</w:t>
      </w:r>
      <w:r>
        <w:rPr>
          <w:rFonts w:hint="eastAsia" w:ascii="仿宋_GB2312" w:hAnsi="宋体" w:eastAsia="仿宋_GB2312"/>
          <w:sz w:val="32"/>
          <w:szCs w:val="32"/>
        </w:rPr>
        <w:t>坚持水利资源的适度有序开发，杜绝不必要的小水电梯级开发；开展资源与环境状况调查与修复，在清水江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氵</w:t>
      </w:r>
      <w:r>
        <w:rPr>
          <w:rFonts w:hint="eastAsia" w:ascii="仿宋_GB2312" w:hAnsi="宋体" w:eastAsia="仿宋_GB2312"/>
          <w:sz w:val="32"/>
          <w:szCs w:val="32"/>
        </w:rPr>
        <w:t>舞阳河等重点流域开展鱼类资源、水文、水质、底质的本底调查，建立信息数据库，为渔业生产、增殖放流等科学管理、科学决策提供数据支撑。按照《水库渔业设施配套规范》建设渔业增殖站，开展人工鱼巢建设，增殖放流与移植相结合，改善库区水域的鱼类种群组成，科学建立水环境生态系统，保持水域的生态平衡，确保生态渔业可持续发展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baseline"/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textAlignment w:val="baseline"/>
        <w:rPr>
          <w:rStyle w:val="2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rPr>
        <w:rStyle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31CB5"/>
    <w:multiLevelType w:val="multilevel"/>
    <w:tmpl w:val="69D31CB5"/>
    <w:lvl w:ilvl="0" w:tentative="0">
      <w:start w:val="1"/>
      <w:numFmt w:val="decimal"/>
      <w:pStyle w:val="3"/>
      <w:suff w:val="space"/>
      <w:lvlText w:val="%1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90EFC"/>
    <w:rsid w:val="00DD129A"/>
    <w:rsid w:val="00EA1493"/>
    <w:rsid w:val="00FB6911"/>
    <w:rsid w:val="00FF3F01"/>
    <w:rsid w:val="045F3915"/>
    <w:rsid w:val="04BE44D0"/>
    <w:rsid w:val="04F11B66"/>
    <w:rsid w:val="06503351"/>
    <w:rsid w:val="07D26AFC"/>
    <w:rsid w:val="085A13A4"/>
    <w:rsid w:val="08B66956"/>
    <w:rsid w:val="0ABD14D2"/>
    <w:rsid w:val="0D177CE8"/>
    <w:rsid w:val="10B40BCC"/>
    <w:rsid w:val="118823F2"/>
    <w:rsid w:val="123E285D"/>
    <w:rsid w:val="12440F6A"/>
    <w:rsid w:val="13C57EA3"/>
    <w:rsid w:val="13D43D3C"/>
    <w:rsid w:val="151505F5"/>
    <w:rsid w:val="15B639B8"/>
    <w:rsid w:val="16F969DB"/>
    <w:rsid w:val="176E5764"/>
    <w:rsid w:val="18EC1E64"/>
    <w:rsid w:val="19042C0E"/>
    <w:rsid w:val="1B913D76"/>
    <w:rsid w:val="1BAB45FA"/>
    <w:rsid w:val="1C81044B"/>
    <w:rsid w:val="1D124BB8"/>
    <w:rsid w:val="1E13056E"/>
    <w:rsid w:val="20E366FE"/>
    <w:rsid w:val="216570E5"/>
    <w:rsid w:val="21EA0B57"/>
    <w:rsid w:val="23370767"/>
    <w:rsid w:val="24BD47D4"/>
    <w:rsid w:val="254B7D55"/>
    <w:rsid w:val="255A2EE5"/>
    <w:rsid w:val="26256CDC"/>
    <w:rsid w:val="280B3E99"/>
    <w:rsid w:val="29BB0497"/>
    <w:rsid w:val="29EB237C"/>
    <w:rsid w:val="29F12C92"/>
    <w:rsid w:val="2A6C10ED"/>
    <w:rsid w:val="2BDD0731"/>
    <w:rsid w:val="2D5976CF"/>
    <w:rsid w:val="2FD84B80"/>
    <w:rsid w:val="30002984"/>
    <w:rsid w:val="30B878C9"/>
    <w:rsid w:val="317F3112"/>
    <w:rsid w:val="32794BB9"/>
    <w:rsid w:val="33552650"/>
    <w:rsid w:val="34013EDB"/>
    <w:rsid w:val="35A1653F"/>
    <w:rsid w:val="36840F1F"/>
    <w:rsid w:val="36BA365E"/>
    <w:rsid w:val="36DA2F06"/>
    <w:rsid w:val="377737A4"/>
    <w:rsid w:val="38D60616"/>
    <w:rsid w:val="3A7B4D73"/>
    <w:rsid w:val="3D865DCA"/>
    <w:rsid w:val="3EF042C5"/>
    <w:rsid w:val="3F1A5C90"/>
    <w:rsid w:val="40765658"/>
    <w:rsid w:val="40F64A2D"/>
    <w:rsid w:val="42777487"/>
    <w:rsid w:val="42F10C9F"/>
    <w:rsid w:val="43783171"/>
    <w:rsid w:val="443741D2"/>
    <w:rsid w:val="4440539A"/>
    <w:rsid w:val="46D15F6D"/>
    <w:rsid w:val="48061F3D"/>
    <w:rsid w:val="489918A7"/>
    <w:rsid w:val="493508EE"/>
    <w:rsid w:val="497C7186"/>
    <w:rsid w:val="4A196944"/>
    <w:rsid w:val="4A6A10A6"/>
    <w:rsid w:val="4AB418BE"/>
    <w:rsid w:val="4B60589E"/>
    <w:rsid w:val="4C202355"/>
    <w:rsid w:val="4F1E6C2C"/>
    <w:rsid w:val="4F6B5D70"/>
    <w:rsid w:val="4FD75182"/>
    <w:rsid w:val="507F065A"/>
    <w:rsid w:val="5236789E"/>
    <w:rsid w:val="535404C8"/>
    <w:rsid w:val="53C733E2"/>
    <w:rsid w:val="55495127"/>
    <w:rsid w:val="559F1A55"/>
    <w:rsid w:val="56956081"/>
    <w:rsid w:val="5A7C34BF"/>
    <w:rsid w:val="5AA17385"/>
    <w:rsid w:val="5AD6597B"/>
    <w:rsid w:val="5AE50E42"/>
    <w:rsid w:val="5B7C24C8"/>
    <w:rsid w:val="5C6B77F5"/>
    <w:rsid w:val="5F71570F"/>
    <w:rsid w:val="613D7037"/>
    <w:rsid w:val="61895CCF"/>
    <w:rsid w:val="66F35DD9"/>
    <w:rsid w:val="67615A51"/>
    <w:rsid w:val="6854075C"/>
    <w:rsid w:val="69A37ABB"/>
    <w:rsid w:val="6A644AE2"/>
    <w:rsid w:val="6F5974BD"/>
    <w:rsid w:val="70307264"/>
    <w:rsid w:val="709E12D9"/>
    <w:rsid w:val="71230126"/>
    <w:rsid w:val="72DF1356"/>
    <w:rsid w:val="737B52FA"/>
    <w:rsid w:val="73AF7E1A"/>
    <w:rsid w:val="743C31A8"/>
    <w:rsid w:val="74620891"/>
    <w:rsid w:val="749A3908"/>
    <w:rsid w:val="75087851"/>
    <w:rsid w:val="75A407F7"/>
    <w:rsid w:val="75FC7C1A"/>
    <w:rsid w:val="778C0E73"/>
    <w:rsid w:val="78491FD0"/>
    <w:rsid w:val="7B2A5E81"/>
    <w:rsid w:val="7C1F064D"/>
    <w:rsid w:val="7CE17130"/>
    <w:rsid w:val="7CED07AE"/>
    <w:rsid w:val="7F3C0760"/>
    <w:rsid w:val="7FD55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napToGrid w:val="0"/>
      <w:spacing w:before="50" w:beforeLines="50"/>
      <w:ind w:firstLineChars="0"/>
      <w:outlineLvl w:val="0"/>
    </w:pPr>
    <w:rPr>
      <w:rFonts w:eastAsiaTheme="majorEastAsia"/>
      <w:b/>
      <w:sz w:val="32"/>
    </w:rPr>
  </w:style>
  <w:style w:type="paragraph" w:styleId="4">
    <w:name w:val="heading 2"/>
    <w:next w:val="1"/>
    <w:qFormat/>
    <w:uiPriority w:val="0"/>
    <w:pPr>
      <w:numPr>
        <w:ilvl w:val="1"/>
        <w:numId w:val="1"/>
      </w:numPr>
      <w:snapToGrid w:val="0"/>
      <w:spacing w:before="50" w:beforeLines="50"/>
      <w:outlineLvl w:val="1"/>
    </w:pPr>
    <w:rPr>
      <w:rFonts w:ascii="Times New Roman" w:hAnsi="Times New Roman" w:cs="Times New Roman" w:eastAsiaTheme="majorEastAsia"/>
      <w:b/>
      <w:snapToGrid w:val="0"/>
      <w:kern w:val="2"/>
      <w:sz w:val="28"/>
      <w:szCs w:val="28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9">
    <w:name w:val="Body Text Indent 2"/>
    <w:basedOn w:val="1"/>
    <w:next w:val="10"/>
    <w:qFormat/>
    <w:uiPriority w:val="99"/>
    <w:pPr>
      <w:tabs>
        <w:tab w:val="left" w:pos="420"/>
      </w:tabs>
      <w:ind w:firstLine="640" w:firstLineChars="200"/>
    </w:pPr>
    <w:rPr>
      <w:rFonts w:eastAsia="仿宋_GB2312"/>
      <w:sz w:val="32"/>
      <w:szCs w:val="32"/>
    </w:rPr>
  </w:style>
  <w:style w:type="paragraph" w:styleId="10">
    <w:name w:val="Body Text Indent 3"/>
    <w:basedOn w:val="1"/>
    <w:qFormat/>
    <w:uiPriority w:val="99"/>
    <w:pPr>
      <w:ind w:left="200" w:leftChars="200"/>
    </w:pPr>
    <w:rPr>
      <w:rFonts w:ascii="Times New Roman" w:hAnsi="Times New Roman"/>
      <w:sz w:val="16"/>
      <w:szCs w:val="16"/>
    </w:rPr>
  </w:style>
  <w:style w:type="paragraph" w:styleId="11">
    <w:name w:val="footer"/>
    <w:basedOn w:val="1"/>
    <w:link w:val="32"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7">
    <w:name w:val="Strong"/>
    <w:qFormat/>
    <w:uiPriority w:val="0"/>
    <w:rPr>
      <w:rFonts w:cs="Times New Roman"/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20"/>
    <w:semiHidden/>
    <w:qFormat/>
    <w:uiPriority w:val="0"/>
    <w:rPr>
      <w:color w:val="0000FF"/>
      <w:u w:val="single"/>
    </w:rPr>
  </w:style>
  <w:style w:type="character" w:customStyle="1" w:styleId="20">
    <w:name w:val="NormalCharacter"/>
    <w:semiHidden/>
    <w:qFormat/>
    <w:uiPriority w:val="0"/>
  </w:style>
  <w:style w:type="paragraph" w:customStyle="1" w:styleId="21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customStyle="1" w:styleId="23">
    <w:name w:val="Heading1"/>
    <w:basedOn w:val="1"/>
    <w:link w:val="2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Acetate"/>
    <w:basedOn w:val="1"/>
    <w:qFormat/>
    <w:uiPriority w:val="0"/>
    <w:rPr>
      <w:sz w:val="18"/>
      <w:szCs w:val="18"/>
    </w:rPr>
  </w:style>
  <w:style w:type="paragraph" w:customStyle="1" w:styleId="2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9">
    <w:name w:val="UserStyle_3"/>
    <w:basedOn w:val="20"/>
    <w:link w:val="2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UserStyle_4"/>
    <w:basedOn w:val="20"/>
    <w:qFormat/>
    <w:uiPriority w:val="0"/>
  </w:style>
  <w:style w:type="paragraph" w:customStyle="1" w:styleId="3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页脚 Char"/>
    <w:basedOn w:val="16"/>
    <w:link w:val="11"/>
    <w:qFormat/>
    <w:uiPriority w:val="99"/>
    <w:rPr>
      <w:rFonts w:cstheme="minorBidi"/>
      <w:kern w:val="2"/>
      <w:sz w:val="18"/>
      <w:szCs w:val="18"/>
    </w:rPr>
  </w:style>
  <w:style w:type="paragraph" w:customStyle="1" w:styleId="3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34">
    <w:name w:val="15"/>
    <w:basedOn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2022-01-08T09:19:18Z</cp:lastPrinted>
  <dcterms:modified xsi:type="dcterms:W3CDTF">2022-01-08T09:19:40Z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8AAD72FC0B00492DB08614329DCFED9E</vt:lpwstr>
  </property>
</Properties>
</file>